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2C7" w:rsidRPr="00D022C7" w:rsidRDefault="00D022C7" w:rsidP="00D022C7">
      <w:pPr>
        <w:jc w:val="both"/>
        <w:rPr>
          <w:rFonts w:ascii="Verdana" w:hAnsi="Verdana"/>
          <w:b/>
          <w:sz w:val="22"/>
          <w:szCs w:val="22"/>
        </w:rPr>
      </w:pPr>
      <w:r w:rsidRPr="00D022C7">
        <w:rPr>
          <w:rFonts w:ascii="Verdana" w:hAnsi="Verdana"/>
          <w:b/>
          <w:sz w:val="22"/>
          <w:szCs w:val="22"/>
        </w:rPr>
        <w:t xml:space="preserve">Tema 4. Poder Judicial </w:t>
      </w:r>
    </w:p>
    <w:p w:rsidR="00D022C7" w:rsidRPr="00D022C7" w:rsidRDefault="00D022C7" w:rsidP="00D022C7">
      <w:pPr>
        <w:jc w:val="both"/>
        <w:rPr>
          <w:rFonts w:ascii="Verdana" w:hAnsi="Verdana"/>
          <w:b/>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 xml:space="preserve">Un Estado de derecho requiere un poder judicial independiente y cercano a la sociedad, que pueda castigar los actos de corrupción que se generan en distintos niveles.  </w:t>
      </w: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La independencia de la judicatura debe ser garantizada por el Estado mediante la adecuada dotación de recursos. Sin embargo, presiones y amenazas erosionan el efecto de las decisiones en este nivel y acrecienta la desconfianza de los ciudadanos en el sistema.</w:t>
      </w: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En este capítulo se presentan las características del poder judicial, los retos a los que se enfrenta y los esfuerzos que se han realizado para sancionar actos de corrupción, así como para prevenir su ocurrencia a través de instancias como el Consejo de la Judicatura Federal.</w:t>
      </w:r>
    </w:p>
    <w:p w:rsidR="00D022C7" w:rsidRPr="00D022C7" w:rsidRDefault="00D022C7" w:rsidP="00D022C7">
      <w:pPr>
        <w:jc w:val="both"/>
        <w:rPr>
          <w:rFonts w:ascii="Verdana" w:hAnsi="Verdana"/>
          <w:b/>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b/>
          <w:sz w:val="22"/>
          <w:szCs w:val="22"/>
        </w:rPr>
      </w:pPr>
    </w:p>
    <w:p w:rsidR="00D022C7" w:rsidRPr="00D022C7" w:rsidRDefault="00D022C7" w:rsidP="00D022C7">
      <w:pPr>
        <w:jc w:val="both"/>
        <w:rPr>
          <w:rFonts w:ascii="Verdana" w:hAnsi="Verdana"/>
          <w:b/>
          <w:sz w:val="22"/>
          <w:szCs w:val="22"/>
        </w:rPr>
      </w:pPr>
    </w:p>
    <w:p w:rsidR="00D022C7" w:rsidRPr="00D022C7" w:rsidRDefault="00D022C7" w:rsidP="00D022C7">
      <w:pPr>
        <w:jc w:val="center"/>
        <w:rPr>
          <w:rFonts w:ascii="Verdana" w:hAnsi="Verdana"/>
          <w:sz w:val="22"/>
          <w:szCs w:val="22"/>
        </w:rPr>
      </w:pPr>
    </w:p>
    <w:p w:rsidR="00D022C7" w:rsidRPr="00D022C7" w:rsidRDefault="00D022C7" w:rsidP="00D022C7">
      <w:pPr>
        <w:ind w:left="34"/>
        <w:jc w:val="both"/>
        <w:rPr>
          <w:rFonts w:ascii="Verdana" w:hAnsi="Verdana"/>
          <w:sz w:val="22"/>
          <w:szCs w:val="22"/>
        </w:rPr>
      </w:pPr>
      <w:r>
        <w:rPr>
          <w:rFonts w:ascii="Verdana" w:hAnsi="Verdana"/>
          <w:noProof/>
          <w:sz w:val="22"/>
          <w:szCs w:val="22"/>
          <w:lang w:eastAsia="es-MX"/>
        </w:rPr>
        <w:drawing>
          <wp:inline distT="0" distB="0" distL="0" distR="0">
            <wp:extent cx="5372735" cy="3259455"/>
            <wp:effectExtent l="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2735" cy="3259455"/>
                    </a:xfrm>
                    <a:prstGeom prst="rect">
                      <a:avLst/>
                    </a:prstGeom>
                    <a:noFill/>
                  </pic:spPr>
                </pic:pic>
              </a:graphicData>
            </a:graphic>
          </wp:inline>
        </w:drawing>
      </w:r>
    </w:p>
    <w:p w:rsidR="00D022C7" w:rsidRPr="00D022C7" w:rsidRDefault="00D022C7" w:rsidP="00D022C7">
      <w:pPr>
        <w:ind w:left="34"/>
        <w:jc w:val="both"/>
        <w:rPr>
          <w:rFonts w:ascii="Verdana" w:hAnsi="Verdana"/>
          <w:sz w:val="22"/>
          <w:szCs w:val="22"/>
        </w:rPr>
      </w:pPr>
      <w:r w:rsidRPr="00D022C7">
        <w:rPr>
          <w:rFonts w:ascii="Verdana" w:hAnsi="Verdana"/>
          <w:sz w:val="22"/>
          <w:szCs w:val="22"/>
        </w:rPr>
        <w:t xml:space="preserve">   </w:t>
      </w:r>
    </w:p>
    <w:p w:rsidR="00D022C7" w:rsidRPr="00D022C7" w:rsidRDefault="00D022C7" w:rsidP="00D022C7">
      <w:pPr>
        <w:jc w:val="both"/>
        <w:rPr>
          <w:rFonts w:ascii="Verdana" w:hAnsi="Verdana"/>
          <w:b/>
          <w:sz w:val="22"/>
          <w:szCs w:val="22"/>
        </w:rPr>
      </w:pPr>
      <w:r w:rsidRPr="00D022C7">
        <w:rPr>
          <w:rFonts w:ascii="Verdana" w:hAnsi="Verdana"/>
          <w:b/>
          <w:sz w:val="22"/>
          <w:szCs w:val="22"/>
        </w:rPr>
        <w:t xml:space="preserve">4.1. La corrupción y el poder judicial </w:t>
      </w: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 xml:space="preserve">Un gobierno democrático requiere de un estado de derecho donde exista un sistema legal que garantice derechos e igualdad a los ciudadanos, que asegure la ausencia de áreas dominadas por organizaciones criminales; la inexistencia de corrupción en los aparatos políticos, administrativos y judiciales; la presencia de policías eficientes y respetuosas de los derechos y las libertades existentes; el igual y fácil acceso de los ciudadanos a la justicia y a la </w:t>
      </w:r>
      <w:r w:rsidRPr="00D022C7">
        <w:rPr>
          <w:rFonts w:ascii="Verdana" w:hAnsi="Verdana"/>
          <w:sz w:val="22"/>
          <w:szCs w:val="22"/>
        </w:rPr>
        <w:lastRenderedPageBreak/>
        <w:t xml:space="preserve">razonable duración del proceso penal y del contencioso civil o administrativo; y la completa independencia del juez o jurado respecto de cualquier influencia del poder político. </w:t>
      </w: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Sin embargo, la mayoría de los mexicanos se queja de la corrupción policial; no obstante, prefieren dar sobornos a la policía antes que tener que acudir ante el Ministerio Público —Puerta de entrada al sistema judicial—, donde el ciudadano ve reducidas sus posibilidades de exigencia de justicia, pues su derecho está condicionado por su capacidad económica.</w:t>
      </w: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b/>
          <w:sz w:val="22"/>
          <w:szCs w:val="22"/>
        </w:rPr>
        <w:t>El reporte de World Justice Project (WJP) de 2014</w:t>
      </w:r>
      <w:r w:rsidRPr="00D022C7">
        <w:rPr>
          <w:rFonts w:ascii="Verdana" w:hAnsi="Verdana"/>
          <w:sz w:val="22"/>
          <w:szCs w:val="22"/>
        </w:rPr>
        <w:t>, indica que México está en los últimos lugares a nivel América Latina en relación con el acceso a la justicia, ya que se ubica en el lugar 12 de 16 países en los que se realizó la encuesta.</w:t>
      </w:r>
      <w:r w:rsidRPr="00D022C7">
        <w:rPr>
          <w:rFonts w:ascii="Verdana" w:hAnsi="Verdana"/>
          <w:sz w:val="22"/>
          <w:szCs w:val="22"/>
          <w:lang w:val="es-ES"/>
        </w:rPr>
        <w:t xml:space="preserve"> Los encuestados —en una escala de 1 al 10, donde 10 es muy grave— consideraron como un problema grave la duración de los juicios (8.3%), lo que relacionaron con la falta de jueces para atender con más velocidad los casos; la corrupción de los jueces y funcionarios judiciales, quienes no apresuran los juicios a menos de que haya alguna influencia externa o dinero (6.3%) y algunos dijeron que falta más independencia del sistema judicial al sistema político</w:t>
      </w:r>
      <w:r w:rsidRPr="00D022C7">
        <w:rPr>
          <w:rFonts w:ascii="Verdana" w:hAnsi="Verdana"/>
          <w:sz w:val="22"/>
          <w:szCs w:val="22"/>
        </w:rPr>
        <w:t xml:space="preserve"> político (4%).</w:t>
      </w: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r>
        <w:rPr>
          <w:b/>
          <w:noProof/>
          <w:lang w:eastAsia="es-MX"/>
        </w:rPr>
        <w:drawing>
          <wp:anchor distT="0" distB="0" distL="114300" distR="114300" simplePos="0" relativeHeight="251659264" behindDoc="0" locked="0" layoutInCell="1" allowOverlap="1">
            <wp:simplePos x="0" y="0"/>
            <wp:positionH relativeFrom="margin">
              <wp:posOffset>2137410</wp:posOffset>
            </wp:positionH>
            <wp:positionV relativeFrom="margin">
              <wp:posOffset>1522730</wp:posOffset>
            </wp:positionV>
            <wp:extent cx="2908935" cy="1724025"/>
            <wp:effectExtent l="0" t="0" r="5715" b="9525"/>
            <wp:wrapSquare wrapText="bothSides"/>
            <wp:docPr id="33" name="Imagen 33" descr="WORLD JUSTICE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ORLD JUSTICE PROJ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935" cy="1724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22C7" w:rsidRPr="00D022C7" w:rsidRDefault="00D022C7" w:rsidP="00D022C7">
      <w:pPr>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lang w:val="es-ES"/>
        </w:rPr>
      </w:pPr>
      <w:r w:rsidRPr="00D022C7">
        <w:rPr>
          <w:rFonts w:ascii="Verdana" w:hAnsi="Verdana"/>
          <w:sz w:val="22"/>
          <w:szCs w:val="22"/>
        </w:rPr>
        <w:t>Según la Encuesta Nacional de Victimización y Percepción sobre Seguridad Pública 2013 (Envipe), seis de cada 10 mexicanos consideran que la ley se respeta poco o nada. Contar con leyes o normas no es suficiente, ya que pueden ser fácilmente ignoradas.</w:t>
      </w:r>
      <w:r w:rsidRPr="00D022C7">
        <w:rPr>
          <w:rFonts w:ascii="Verdana" w:hAnsi="Verdana"/>
          <w:sz w:val="22"/>
          <w:szCs w:val="22"/>
          <w:lang w:val="es-ES"/>
        </w:rPr>
        <w:t xml:space="preserve">  Por otra parte, la ciudadanía tiene más confianza en la Marina y el Ejército que en la Policía, los Jueces o los Agentes del Ministerio Público.</w:t>
      </w:r>
    </w:p>
    <w:p w:rsidR="00D022C7" w:rsidRPr="00D022C7" w:rsidRDefault="00D022C7" w:rsidP="00D022C7">
      <w:pPr>
        <w:jc w:val="both"/>
        <w:rPr>
          <w:rFonts w:ascii="Verdana" w:hAnsi="Verdana"/>
          <w:sz w:val="22"/>
          <w:szCs w:val="22"/>
          <w:lang w:val="es-ES"/>
        </w:rPr>
      </w:pPr>
    </w:p>
    <w:p w:rsidR="00D022C7" w:rsidRPr="00D022C7" w:rsidRDefault="00D022C7" w:rsidP="00D022C7">
      <w:pPr>
        <w:jc w:val="center"/>
        <w:rPr>
          <w:rFonts w:ascii="Verdana" w:hAnsi="Verdana"/>
          <w:sz w:val="22"/>
          <w:szCs w:val="22"/>
        </w:rPr>
      </w:pPr>
      <w:r>
        <w:rPr>
          <w:rFonts w:ascii="Verdana" w:hAnsi="Verdana"/>
          <w:noProof/>
          <w:sz w:val="22"/>
          <w:szCs w:val="22"/>
          <w:lang w:eastAsia="es-MX"/>
        </w:rPr>
        <w:lastRenderedPageBreak/>
        <w:drawing>
          <wp:inline distT="0" distB="0" distL="0" distR="0">
            <wp:extent cx="7010400" cy="3724275"/>
            <wp:effectExtent l="0" t="0" r="0" b="9525"/>
            <wp:docPr id="27" name="Imagen 27" descr="ENVI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NVIP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10400" cy="3724275"/>
                    </a:xfrm>
                    <a:prstGeom prst="rect">
                      <a:avLst/>
                    </a:prstGeom>
                    <a:noFill/>
                    <a:ln>
                      <a:noFill/>
                    </a:ln>
                  </pic:spPr>
                </pic:pic>
              </a:graphicData>
            </a:graphic>
          </wp:inline>
        </w:drawing>
      </w:r>
    </w:p>
    <w:p w:rsidR="00D022C7" w:rsidRPr="00D022C7" w:rsidRDefault="00D022C7" w:rsidP="00D022C7">
      <w:pPr>
        <w:jc w:val="center"/>
        <w:rPr>
          <w:rFonts w:ascii="Verdana" w:hAnsi="Verdana"/>
          <w:sz w:val="16"/>
          <w:szCs w:val="16"/>
        </w:rPr>
      </w:pPr>
      <w:r w:rsidRPr="00D022C7">
        <w:rPr>
          <w:rFonts w:ascii="Verdana" w:hAnsi="Verdana"/>
          <w:sz w:val="16"/>
          <w:szCs w:val="16"/>
        </w:rPr>
        <w:t>Fuente: Instituto Nacional de Estadística y Geografía (INEGI), Encuesta Nacional de Victimización y Percepción sobre Seguridad Pública (ENVIPE), 2013.</w:t>
      </w:r>
    </w:p>
    <w:p w:rsidR="00D022C7" w:rsidRPr="00D022C7" w:rsidRDefault="00D022C7" w:rsidP="00D022C7">
      <w:pPr>
        <w:ind w:firstLine="34"/>
        <w:jc w:val="both"/>
        <w:rPr>
          <w:rFonts w:ascii="Verdana" w:hAnsi="Verdana"/>
          <w:sz w:val="20"/>
          <w:szCs w:val="20"/>
        </w:rPr>
      </w:pP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lang w:val="es-ES"/>
        </w:rPr>
      </w:pPr>
      <w:r w:rsidRPr="00D022C7">
        <w:rPr>
          <w:rFonts w:ascii="Verdana" w:hAnsi="Verdana"/>
          <w:sz w:val="22"/>
          <w:szCs w:val="22"/>
          <w:lang w:val="es-ES"/>
        </w:rPr>
        <w:t>Es precisamente en el Control Judicial, ejercido por la PGR, donde existen importantes limitaciones para la sanción de actos de corrupción</w:t>
      </w:r>
      <w:r w:rsidRPr="00D022C7">
        <w:rPr>
          <w:rFonts w:ascii="Verdana" w:hAnsi="Verdana"/>
          <w:sz w:val="22"/>
          <w:szCs w:val="22"/>
        </w:rPr>
        <w:t>, siendo el Ministerio Público el órgano que “abre las puertas del sistema judicial”, es fundamental que sus funcionarios cuenten con las capacidades técnicas para conducir investigaciones de forma profesional.</w:t>
      </w: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Como respuesta a esta situación, se crea la Fiscalía Especializada en materia de Delitos relacionados con Hechos de Corrupción y se establecen sus atribuciones en el ACUERDO A/011/14 publicado en el Diario Oficial de la Federación 12/03/2014.</w:t>
      </w: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r>
        <w:rPr>
          <w:noProof/>
          <w:lang w:eastAsia="es-MX"/>
        </w:rPr>
        <mc:AlternateContent>
          <mc:Choice Requires="wps">
            <w:drawing>
              <wp:anchor distT="0" distB="0" distL="114300" distR="114300" simplePos="0" relativeHeight="251660288" behindDoc="0" locked="0" layoutInCell="1" allowOverlap="1">
                <wp:simplePos x="0" y="0"/>
                <wp:positionH relativeFrom="margin">
                  <wp:posOffset>1068070</wp:posOffset>
                </wp:positionH>
                <wp:positionV relativeFrom="margin">
                  <wp:posOffset>377190</wp:posOffset>
                </wp:positionV>
                <wp:extent cx="5259070" cy="3041015"/>
                <wp:effectExtent l="0" t="0" r="8255" b="26035"/>
                <wp:wrapSquare wrapText="bothSides"/>
                <wp:docPr id="32" name="Bise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9070" cy="3041015"/>
                        </a:xfrm>
                        <a:prstGeom prst="bevel">
                          <a:avLst>
                            <a:gd name="adj" fmla="val 12500"/>
                          </a:avLst>
                        </a:prstGeom>
                        <a:gradFill rotWithShape="1">
                          <a:gsLst>
                            <a:gs pos="0">
                              <a:srgbClr val="2C5D98"/>
                            </a:gs>
                            <a:gs pos="80000">
                              <a:srgbClr val="3C7BC7"/>
                            </a:gs>
                            <a:gs pos="100000">
                              <a:srgbClr val="3A7CCB"/>
                            </a:gs>
                          </a:gsLst>
                          <a:lin ang="5400000" scaled="1"/>
                        </a:gradFill>
                        <a:ln>
                          <a:noFill/>
                        </a:ln>
                        <a:effectLst>
                          <a:outerShdw blurRad="40000"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D022C7" w:rsidRPr="00603AEC" w:rsidRDefault="00D022C7" w:rsidP="00D022C7">
                            <w:pPr>
                              <w:pStyle w:val="NormalWeb"/>
                              <w:jc w:val="both"/>
                              <w:rPr>
                                <w:sz w:val="28"/>
                                <w:szCs w:val="28"/>
                              </w:rPr>
                            </w:pPr>
                            <w:r w:rsidRPr="00D022C7">
                              <w:rPr>
                                <w:rFonts w:ascii="Verdana" w:eastAsia="Verdana" w:hAnsi="Verdana" w:cs="Verdana"/>
                                <w:b/>
                                <w:bCs w:val="0"/>
                                <w:kern w:val="24"/>
                                <w:sz w:val="28"/>
                                <w:szCs w:val="28"/>
                                <w14:shadow w14:blurRad="50800" w14:dist="38100" w14:dir="2700000" w14:sx="100000" w14:sy="100000" w14:kx="0" w14:ky="0" w14:algn="tl">
                                  <w14:srgbClr w14:val="000000">
                                    <w14:alpha w14:val="60000"/>
                                  </w14:srgbClr>
                                </w14:shadow>
                                <w14:textFill>
                                  <w14:solidFill>
                                    <w14:srgbClr w14:val="FFFFFF"/>
                                  </w14:solidFill>
                                </w14:textFill>
                              </w:rPr>
                              <w:t>La Fiscalía es una unidad administrativa adscrita a la Oficina del Procurador General de la República, que tiene por objeto la investigación y persecución de los delitos relacionados con hechos de corrupción de competencia federal, así como cualquier otro delito cometido por un servidor público federal en el desempeño de un empleo, cargo o comisión</w:t>
                            </w:r>
                            <w:r w:rsidRPr="00603AEC">
                              <w:rPr>
                                <w:rFonts w:ascii="Calibri" w:hAnsi="Calibri"/>
                                <w:color w:val="FFFFFF"/>
                                <w:kern w:val="24"/>
                                <w:sz w:val="28"/>
                                <w:szCs w:val="28"/>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isel 32" o:spid="_x0000_s1026" type="#_x0000_t84" style="position:absolute;left:0;text-align:left;margin-left:84.1pt;margin-top:29.7pt;width:414.1pt;height:239.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" fillcolor="#2c5d98" stroked="f">
                <v:fill color2="#3a7ccb" rotate="t" colors="0 #2c5d98;52429f #3c7bc7;1 #3a7ccb" focus="100%" type="gradient"/>
                <v:shadow on="t" color="black" opacity="22936f" origin=",.5" offset="0,.63889mm"/>
                <v:textbox>
                  <w:txbxContent>
                    <w:p w:rsidR="00D022C7" w:rsidRPr="00603AEC" w:rsidRDefault="00D022C7" w:rsidP="00D022C7">
                      <w:pPr>
                        <w:pStyle w:val="NormalWeb"/>
                        <w:jc w:val="both"/>
                        <w:rPr>
                          <w:sz w:val="28"/>
                          <w:szCs w:val="28"/>
                        </w:rPr>
                      </w:pPr>
                      <w:r w:rsidRPr="00D022C7">
                        <w:rPr>
                          <w:rFonts w:ascii="Verdana" w:eastAsia="Verdana" w:hAnsi="Verdana" w:cs="Verdana"/>
                          <w:b/>
                          <w:bCs w:val="0"/>
                          <w:kern w:val="24"/>
                          <w:sz w:val="28"/>
                          <w:szCs w:val="28"/>
                          <w14:shadow w14:blurRad="50800" w14:dist="38100" w14:dir="2700000" w14:sx="100000" w14:sy="100000" w14:kx="0" w14:ky="0" w14:algn="tl">
                            <w14:srgbClr w14:val="000000">
                              <w14:alpha w14:val="60000"/>
                            </w14:srgbClr>
                          </w14:shadow>
                          <w14:textFill>
                            <w14:solidFill>
                              <w14:srgbClr w14:val="FFFFFF"/>
                            </w14:solidFill>
                          </w14:textFill>
                        </w:rPr>
                        <w:t>La Fiscalía es una unidad administrativa adscrita a la Oficina del Procurador General de la República, que tiene por objeto la investigación y persecución de los delitos relacionados con hechos de corrupción de competencia federal, así como cualquier otro delito cometido por un servidor público federal en el desempeño de un empleo, cargo o comisión</w:t>
                      </w:r>
                      <w:r w:rsidRPr="00603AEC">
                        <w:rPr>
                          <w:rFonts w:ascii="Calibri" w:hAnsi="Calibri"/>
                          <w:color w:val="FFFFFF"/>
                          <w:kern w:val="24"/>
                          <w:sz w:val="28"/>
                          <w:szCs w:val="28"/>
                        </w:rPr>
                        <w:t>.</w:t>
                      </w:r>
                    </w:p>
                  </w:txbxContent>
                </v:textbox>
                <w10:wrap type="square" anchorx="margin" anchory="margin"/>
              </v:shape>
            </w:pict>
          </mc:Fallback>
        </mc:AlternateContent>
      </w:r>
      <w:r w:rsidRPr="00D022C7">
        <w:rPr>
          <w:rFonts w:ascii="Verdana" w:hAnsi="Verdana"/>
          <w:sz w:val="22"/>
          <w:szCs w:val="22"/>
        </w:rPr>
        <w:t>Los delitos relacionados con hechos de corrupción comprende los tipos penales que establece el Código Penal Federal en el Título Décimo, que lleva por rubro "Delitos cometidos por servidores públicos" y el Título Décimo primero, que se denomina "Delitos cometidos contra la administración de justicia", así como todos aquellos previstos en leyes especiales.</w:t>
      </w: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Se adscribe a la estructura de la Fiscalía Especializada en materia de Delitos relacionados con Hechos de Corrupción, la Unidad Especializada en Investigación de Delitos Cometidos por Servidores Públicos y contra la Administración de Justicia.</w:t>
      </w: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ind w:firstLine="34"/>
        <w:jc w:val="center"/>
        <w:rPr>
          <w:rFonts w:ascii="Verdana" w:hAnsi="Verdana"/>
          <w:sz w:val="22"/>
          <w:szCs w:val="22"/>
          <w:lang w:val="es-ES"/>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jc w:val="center"/>
        <w:rPr>
          <w:rFonts w:ascii="Verdana" w:hAnsi="Verdana"/>
          <w:sz w:val="16"/>
          <w:szCs w:val="16"/>
        </w:rPr>
      </w:pPr>
    </w:p>
    <w:p w:rsidR="00D022C7" w:rsidRPr="00D022C7" w:rsidRDefault="00D022C7" w:rsidP="00D022C7">
      <w:pPr>
        <w:rPr>
          <w:rFonts w:ascii="Verdana" w:hAnsi="Verdana"/>
          <w:sz w:val="16"/>
          <w:szCs w:val="16"/>
        </w:rPr>
      </w:pPr>
    </w:p>
    <w:p w:rsidR="00D022C7" w:rsidRPr="00D022C7" w:rsidRDefault="00D022C7" w:rsidP="00D022C7">
      <w:pPr>
        <w:rPr>
          <w:rFonts w:ascii="Verdana" w:hAnsi="Verdana"/>
          <w:sz w:val="16"/>
          <w:szCs w:val="16"/>
        </w:rPr>
      </w:pPr>
    </w:p>
    <w:p w:rsidR="00D022C7" w:rsidRPr="00D022C7" w:rsidRDefault="00D022C7" w:rsidP="00D022C7">
      <w:pPr>
        <w:rPr>
          <w:rFonts w:ascii="Verdana" w:hAnsi="Verdana"/>
          <w:sz w:val="16"/>
          <w:szCs w:val="16"/>
        </w:rPr>
      </w:pPr>
    </w:p>
    <w:p w:rsidR="00D022C7" w:rsidRPr="00D022C7" w:rsidRDefault="00D022C7" w:rsidP="00D022C7">
      <w:pPr>
        <w:rPr>
          <w:rFonts w:ascii="Verdana" w:hAnsi="Verdana"/>
          <w:sz w:val="16"/>
          <w:szCs w:val="16"/>
        </w:rPr>
      </w:pPr>
    </w:p>
    <w:p w:rsidR="00D022C7" w:rsidRPr="00D022C7" w:rsidRDefault="00D022C7" w:rsidP="00D022C7">
      <w:pPr>
        <w:rPr>
          <w:rFonts w:ascii="Verdana" w:hAnsi="Verdana"/>
          <w:sz w:val="16"/>
          <w:szCs w:val="16"/>
        </w:rPr>
      </w:pPr>
    </w:p>
    <w:p w:rsidR="00D022C7" w:rsidRPr="00D022C7" w:rsidRDefault="00D022C7" w:rsidP="00D022C7">
      <w:pPr>
        <w:rPr>
          <w:rFonts w:ascii="Verdana" w:hAnsi="Verdana"/>
          <w:sz w:val="16"/>
          <w:szCs w:val="16"/>
        </w:rPr>
      </w:pPr>
    </w:p>
    <w:p w:rsidR="00D022C7" w:rsidRPr="00D022C7" w:rsidRDefault="00D022C7" w:rsidP="00D022C7">
      <w:pPr>
        <w:rPr>
          <w:rFonts w:ascii="Verdana" w:hAnsi="Verdana"/>
          <w:sz w:val="16"/>
          <w:szCs w:val="16"/>
        </w:rPr>
      </w:pPr>
    </w:p>
    <w:p w:rsidR="00D022C7" w:rsidRPr="00D022C7" w:rsidRDefault="00D022C7" w:rsidP="00D022C7">
      <w:pPr>
        <w:rPr>
          <w:rFonts w:ascii="Verdana" w:hAnsi="Verdana"/>
          <w:sz w:val="16"/>
          <w:szCs w:val="16"/>
        </w:rPr>
      </w:pPr>
    </w:p>
    <w:p w:rsidR="00D022C7" w:rsidRPr="00D022C7" w:rsidRDefault="00D022C7" w:rsidP="00D022C7">
      <w:pPr>
        <w:rPr>
          <w:rFonts w:ascii="Verdana" w:hAnsi="Verdana"/>
          <w:sz w:val="16"/>
          <w:szCs w:val="16"/>
        </w:rPr>
      </w:pPr>
      <w:r>
        <w:rPr>
          <w:noProof/>
          <w:lang w:eastAsia="es-MX"/>
        </w:rPr>
        <w:drawing>
          <wp:anchor distT="0" distB="0" distL="114300" distR="114300" simplePos="0" relativeHeight="251662336" behindDoc="0" locked="0" layoutInCell="1" allowOverlap="1">
            <wp:simplePos x="0" y="0"/>
            <wp:positionH relativeFrom="margin">
              <wp:posOffset>1914525</wp:posOffset>
            </wp:positionH>
            <wp:positionV relativeFrom="margin">
              <wp:posOffset>3014345</wp:posOffset>
            </wp:positionV>
            <wp:extent cx="3455670" cy="1265555"/>
            <wp:effectExtent l="0" t="0" r="0" b="0"/>
            <wp:wrapSquare wrapText="bothSides"/>
            <wp:docPr id="31" name="Imagen 31" descr="http://justiciasincorrupcion1.files.wordpress.com/2008/01/7bdfc-justiciacorrup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justiciasincorrupcion1.files.wordpress.com/2008/01/7bdfc-justiciacorrupta.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455670" cy="1265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22C7" w:rsidRPr="00D022C7" w:rsidRDefault="00D022C7" w:rsidP="00D022C7">
      <w:pPr>
        <w:jc w:val="center"/>
        <w:rPr>
          <w:rFonts w:ascii="Verdana" w:hAnsi="Verdana"/>
          <w:sz w:val="16"/>
          <w:szCs w:val="16"/>
        </w:rPr>
      </w:pPr>
      <w:r>
        <w:rPr>
          <w:noProof/>
          <w:lang w:eastAsia="es-MX"/>
        </w:rPr>
        <w:drawing>
          <wp:anchor distT="0" distB="0" distL="114300" distR="114300" simplePos="0" relativeHeight="251661312" behindDoc="0" locked="0" layoutInCell="1" allowOverlap="1">
            <wp:simplePos x="0" y="0"/>
            <wp:positionH relativeFrom="margin">
              <wp:posOffset>2244090</wp:posOffset>
            </wp:positionH>
            <wp:positionV relativeFrom="margin">
              <wp:posOffset>152400</wp:posOffset>
            </wp:positionV>
            <wp:extent cx="2853055" cy="2129790"/>
            <wp:effectExtent l="0" t="0" r="0" b="3810"/>
            <wp:wrapSquare wrapText="bothSides"/>
            <wp:docPr id="30" name="Imagen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1"/>
                    <pic:cNvPicPr>
                      <a:picLocks noChangeArrowheads="1"/>
                    </pic:cNvPicPr>
                  </pic:nvPicPr>
                  <pic:blipFill>
                    <a:blip r:embed="rId13" cstate="print">
                      <a:extLst>
                        <a:ext uri="{28A0092B-C50C-407E-A947-70E740481C1C}">
                          <a14:useLocalDpi xmlns:a14="http://schemas.microsoft.com/office/drawing/2010/main" val="0"/>
                        </a:ext>
                      </a:extLst>
                    </a:blip>
                    <a:srcRect l="-6226" r="-6047"/>
                    <a:stretch>
                      <a:fillRect/>
                    </a:stretch>
                  </pic:blipFill>
                  <pic:spPr bwMode="auto">
                    <a:xfrm>
                      <a:off x="0" y="0"/>
                      <a:ext cx="2853055" cy="2129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22C7">
        <w:rPr>
          <w:rFonts w:ascii="Verdana" w:hAnsi="Verdana"/>
          <w:sz w:val="16"/>
          <w:szCs w:val="16"/>
        </w:rPr>
        <w:t xml:space="preserve">(2013) [ilustración]. Tomada de: </w:t>
      </w:r>
    </w:p>
    <w:p w:rsidR="00D022C7" w:rsidRPr="00D022C7" w:rsidRDefault="00D022C7" w:rsidP="00D022C7">
      <w:pPr>
        <w:jc w:val="center"/>
        <w:rPr>
          <w:rFonts w:ascii="Verdana" w:hAnsi="Verdana"/>
          <w:sz w:val="16"/>
          <w:szCs w:val="16"/>
        </w:rPr>
      </w:pPr>
      <w:r w:rsidRPr="00D022C7">
        <w:rPr>
          <w:rFonts w:ascii="Verdana" w:hAnsi="Verdana"/>
          <w:sz w:val="16"/>
          <w:szCs w:val="16"/>
        </w:rPr>
        <w:t>http://justiciasincorrupcion.blogia.com/2013/062801--increible-la-asociacion-justicia-sin-corrupcion-ya-tiene-mas-de-doce-anos-lucha.php</w:t>
      </w:r>
    </w:p>
    <w:p w:rsidR="00D022C7" w:rsidRPr="00D022C7" w:rsidRDefault="00D022C7" w:rsidP="00D022C7">
      <w:pPr>
        <w:jc w:val="both"/>
        <w:rPr>
          <w:rFonts w:ascii="Verdana" w:hAnsi="Verdana"/>
          <w:sz w:val="22"/>
          <w:szCs w:val="22"/>
          <w:lang w:val="es-ES"/>
        </w:rPr>
      </w:pPr>
    </w:p>
    <w:p w:rsidR="00D022C7" w:rsidRPr="00D022C7" w:rsidRDefault="00D022C7" w:rsidP="00D022C7">
      <w:pPr>
        <w:jc w:val="both"/>
        <w:rPr>
          <w:rFonts w:ascii="Verdana" w:hAnsi="Verdana"/>
          <w:sz w:val="22"/>
          <w:szCs w:val="22"/>
          <w:lang w:val="es-ES"/>
        </w:rPr>
      </w:pPr>
    </w:p>
    <w:p w:rsidR="00D022C7" w:rsidRPr="00D022C7" w:rsidRDefault="00D022C7" w:rsidP="00D022C7">
      <w:pPr>
        <w:jc w:val="both"/>
        <w:rPr>
          <w:rFonts w:ascii="Verdana" w:hAnsi="Verdana"/>
          <w:b/>
          <w:sz w:val="22"/>
          <w:szCs w:val="22"/>
        </w:rPr>
      </w:pPr>
    </w:p>
    <w:p w:rsidR="00D022C7" w:rsidRPr="00D022C7" w:rsidRDefault="00D022C7" w:rsidP="00D022C7">
      <w:pPr>
        <w:jc w:val="both"/>
        <w:rPr>
          <w:rFonts w:ascii="Verdana" w:hAnsi="Verdana"/>
          <w:b/>
          <w:sz w:val="22"/>
          <w:szCs w:val="22"/>
        </w:rPr>
      </w:pPr>
    </w:p>
    <w:p w:rsidR="00D022C7" w:rsidRPr="00D022C7" w:rsidRDefault="00D022C7" w:rsidP="00D022C7">
      <w:pPr>
        <w:jc w:val="both"/>
        <w:rPr>
          <w:rFonts w:ascii="Verdana" w:hAnsi="Verdana"/>
          <w:b/>
          <w:sz w:val="22"/>
          <w:szCs w:val="22"/>
        </w:rPr>
      </w:pPr>
    </w:p>
    <w:p w:rsidR="00D022C7" w:rsidRPr="00D022C7" w:rsidRDefault="00D022C7" w:rsidP="00D022C7">
      <w:pPr>
        <w:jc w:val="both"/>
        <w:rPr>
          <w:rFonts w:ascii="Verdana" w:hAnsi="Verdana"/>
          <w:b/>
          <w:sz w:val="22"/>
          <w:szCs w:val="22"/>
        </w:rPr>
      </w:pPr>
    </w:p>
    <w:p w:rsidR="00D022C7" w:rsidRPr="00D022C7" w:rsidRDefault="00D022C7" w:rsidP="00D022C7">
      <w:pPr>
        <w:jc w:val="both"/>
        <w:rPr>
          <w:rFonts w:ascii="Verdana" w:hAnsi="Verdana"/>
          <w:b/>
          <w:sz w:val="22"/>
          <w:szCs w:val="22"/>
        </w:rPr>
      </w:pPr>
    </w:p>
    <w:p w:rsidR="00D022C7" w:rsidRPr="00D022C7" w:rsidRDefault="00D022C7" w:rsidP="00D022C7">
      <w:pPr>
        <w:jc w:val="both"/>
        <w:rPr>
          <w:rFonts w:ascii="Verdana" w:hAnsi="Verdana"/>
          <w:b/>
          <w:sz w:val="22"/>
          <w:szCs w:val="22"/>
        </w:rPr>
      </w:pPr>
      <w:r w:rsidRPr="00D022C7">
        <w:rPr>
          <w:rFonts w:ascii="Verdana" w:hAnsi="Verdana"/>
          <w:b/>
          <w:sz w:val="22"/>
          <w:szCs w:val="22"/>
        </w:rPr>
        <w:t xml:space="preserve">4.2. La corrupción en la administración de justicia </w:t>
      </w: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 xml:space="preserve">La administración de justicia tiene como finalidad garantizar el cumplimiento de las leyes, aplicando las sanciones correspondientes a quienes las violan. </w:t>
      </w:r>
    </w:p>
    <w:p w:rsidR="00D022C7" w:rsidRPr="00D022C7" w:rsidRDefault="00D022C7" w:rsidP="00D022C7">
      <w:pPr>
        <w:ind w:firstLine="34"/>
        <w:jc w:val="both"/>
        <w:rPr>
          <w:rFonts w:ascii="Verdana" w:hAnsi="Verdana"/>
          <w:sz w:val="22"/>
          <w:szCs w:val="22"/>
        </w:rPr>
      </w:pPr>
    </w:p>
    <w:p w:rsidR="00D022C7" w:rsidRPr="00D022C7" w:rsidRDefault="00D022C7" w:rsidP="00D022C7">
      <w:pPr>
        <w:jc w:val="both"/>
        <w:rPr>
          <w:rFonts w:ascii="Verdana" w:hAnsi="Verdana"/>
          <w:sz w:val="22"/>
          <w:szCs w:val="22"/>
        </w:rPr>
      </w:pPr>
      <w:r w:rsidRPr="00D022C7">
        <w:rPr>
          <w:rFonts w:ascii="Verdana" w:hAnsi="Verdana"/>
          <w:sz w:val="22"/>
          <w:szCs w:val="22"/>
        </w:rPr>
        <w:t>El artículo 94 Constitucional señala que el Poder Judicial se ejerce por los  siguientes órganos:</w:t>
      </w: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jc w:val="both"/>
        <w:rPr>
          <w:rFonts w:ascii="Verdana" w:hAnsi="Verdana"/>
          <w:sz w:val="22"/>
          <w:szCs w:val="22"/>
        </w:rPr>
      </w:pPr>
    </w:p>
    <w:p w:rsidR="00D022C7" w:rsidRPr="00D022C7" w:rsidRDefault="00D022C7" w:rsidP="00D022C7">
      <w:pPr>
        <w:ind w:firstLine="34"/>
        <w:jc w:val="both"/>
        <w:rPr>
          <w:rFonts w:ascii="Verdana" w:hAnsi="Verdana"/>
          <w:b/>
          <w:sz w:val="22"/>
          <w:szCs w:val="22"/>
        </w:rPr>
      </w:pPr>
      <w:r>
        <w:rPr>
          <w:rFonts w:ascii="Verdana" w:hAnsi="Verdana"/>
          <w:noProof/>
          <w:sz w:val="22"/>
          <w:szCs w:val="22"/>
          <w:lang w:eastAsia="es-MX"/>
        </w:rPr>
        <w:drawing>
          <wp:anchor distT="0" distB="0" distL="114300" distR="114300" simplePos="0" relativeHeight="251663360" behindDoc="0" locked="0" layoutInCell="1" allowOverlap="1">
            <wp:simplePos x="0" y="0"/>
            <wp:positionH relativeFrom="margin">
              <wp:posOffset>3719830</wp:posOffset>
            </wp:positionH>
            <wp:positionV relativeFrom="margin">
              <wp:posOffset>1521460</wp:posOffset>
            </wp:positionV>
            <wp:extent cx="3853815" cy="3399155"/>
            <wp:effectExtent l="0" t="0" r="0" b="0"/>
            <wp:wrapSquare wrapText="bothSides"/>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3815" cy="3399155"/>
                    </a:xfrm>
                    <a:prstGeom prst="rect">
                      <a:avLst/>
                    </a:prstGeom>
                    <a:noFill/>
                  </pic:spPr>
                </pic:pic>
              </a:graphicData>
            </a:graphic>
            <wp14:sizeRelH relativeFrom="page">
              <wp14:pctWidth>0</wp14:pctWidth>
            </wp14:sizeRelH>
            <wp14:sizeRelV relativeFrom="page">
              <wp14:pctHeight>0</wp14:pctHeight>
            </wp14:sizeRelV>
          </wp:anchor>
        </w:drawing>
      </w:r>
      <w:r w:rsidRPr="00D022C7">
        <w:rPr>
          <w:rFonts w:ascii="Verdana" w:hAnsi="Verdana"/>
          <w:sz w:val="22"/>
          <w:szCs w:val="22"/>
        </w:rPr>
        <w:t xml:space="preserve">• </w:t>
      </w:r>
      <w:r w:rsidRPr="00D022C7">
        <w:rPr>
          <w:rFonts w:ascii="Verdana" w:hAnsi="Verdana"/>
          <w:b/>
          <w:sz w:val="22"/>
          <w:szCs w:val="22"/>
        </w:rPr>
        <w:t>La Suprema Corte de Justicia de la Nación (SCJN).</w:t>
      </w:r>
    </w:p>
    <w:p w:rsidR="00D022C7" w:rsidRPr="00D022C7" w:rsidRDefault="00D022C7" w:rsidP="00D022C7">
      <w:pPr>
        <w:tabs>
          <w:tab w:val="left" w:pos="603"/>
        </w:tabs>
        <w:ind w:firstLine="34"/>
        <w:jc w:val="both"/>
        <w:rPr>
          <w:rFonts w:ascii="Verdana" w:hAnsi="Verdana"/>
          <w:sz w:val="22"/>
          <w:szCs w:val="22"/>
        </w:rPr>
      </w:pPr>
      <w:r w:rsidRPr="00D022C7">
        <w:rPr>
          <w:rFonts w:ascii="Verdana" w:hAnsi="Verdana"/>
          <w:sz w:val="22"/>
          <w:szCs w:val="22"/>
        </w:rPr>
        <w:t xml:space="preserve">• </w:t>
      </w:r>
      <w:r w:rsidRPr="00D022C7">
        <w:rPr>
          <w:rFonts w:ascii="Verdana" w:hAnsi="Verdana"/>
          <w:b/>
          <w:sz w:val="22"/>
          <w:szCs w:val="22"/>
        </w:rPr>
        <w:t>El Tribunal Electoral</w:t>
      </w:r>
      <w:r w:rsidRPr="00D022C7">
        <w:rPr>
          <w:rFonts w:ascii="Verdana" w:hAnsi="Verdana"/>
          <w:sz w:val="22"/>
          <w:szCs w:val="22"/>
        </w:rPr>
        <w:t>, es la máxima autoridad en la materia y el órgano especializado del Poder Judicial de la Federación.</w:t>
      </w:r>
    </w:p>
    <w:p w:rsidR="00D022C7" w:rsidRPr="00D022C7" w:rsidRDefault="00D022C7" w:rsidP="00D022C7">
      <w:pPr>
        <w:ind w:firstLine="34"/>
        <w:jc w:val="both"/>
        <w:rPr>
          <w:rFonts w:ascii="Verdana" w:hAnsi="Verdana"/>
          <w:sz w:val="22"/>
          <w:szCs w:val="22"/>
        </w:rPr>
      </w:pPr>
      <w:r w:rsidRPr="00D022C7">
        <w:rPr>
          <w:rFonts w:ascii="Verdana" w:hAnsi="Verdana"/>
          <w:sz w:val="22"/>
          <w:szCs w:val="22"/>
        </w:rPr>
        <w:t xml:space="preserve">• </w:t>
      </w:r>
      <w:r w:rsidRPr="00D022C7">
        <w:rPr>
          <w:rFonts w:ascii="Verdana" w:hAnsi="Verdana"/>
          <w:b/>
          <w:sz w:val="22"/>
          <w:szCs w:val="22"/>
        </w:rPr>
        <w:t>El Consejo de la Judicatura Federal</w:t>
      </w:r>
      <w:r w:rsidRPr="00D022C7">
        <w:rPr>
          <w:rFonts w:ascii="Verdana" w:hAnsi="Verdana"/>
          <w:sz w:val="22"/>
          <w:szCs w:val="22"/>
        </w:rPr>
        <w:t>, será un órgano del Poder Judicial de la Federación con independencia técnica, de gestión y para emitir sus resoluciones.</w:t>
      </w:r>
    </w:p>
    <w:p w:rsidR="00D022C7" w:rsidRPr="00D022C7" w:rsidRDefault="00D022C7" w:rsidP="00D022C7">
      <w:pPr>
        <w:ind w:firstLine="34"/>
        <w:jc w:val="both"/>
        <w:rPr>
          <w:rFonts w:ascii="Verdana" w:hAnsi="Verdana"/>
          <w:sz w:val="22"/>
          <w:szCs w:val="22"/>
        </w:rPr>
      </w:pPr>
      <w:r w:rsidRPr="00D022C7">
        <w:rPr>
          <w:rFonts w:ascii="Verdana" w:hAnsi="Verdana"/>
          <w:sz w:val="22"/>
          <w:szCs w:val="22"/>
        </w:rPr>
        <w:t xml:space="preserve">• </w:t>
      </w:r>
      <w:r w:rsidRPr="00D022C7">
        <w:rPr>
          <w:rFonts w:ascii="Verdana" w:hAnsi="Verdana"/>
          <w:b/>
          <w:sz w:val="22"/>
          <w:szCs w:val="22"/>
        </w:rPr>
        <w:t>Tribunales de Circuito, que pueden ser Unitarios o Colegiados:</w:t>
      </w:r>
    </w:p>
    <w:p w:rsidR="00D022C7" w:rsidRPr="00D022C7" w:rsidRDefault="00D022C7" w:rsidP="00D022C7">
      <w:pPr>
        <w:numPr>
          <w:ilvl w:val="0"/>
          <w:numId w:val="2"/>
        </w:numPr>
        <w:jc w:val="both"/>
        <w:rPr>
          <w:rFonts w:ascii="Verdana" w:hAnsi="Verdana"/>
          <w:sz w:val="22"/>
          <w:szCs w:val="22"/>
        </w:rPr>
      </w:pPr>
      <w:r w:rsidRPr="00D022C7">
        <w:rPr>
          <w:rFonts w:ascii="Verdana" w:hAnsi="Verdana"/>
          <w:sz w:val="22"/>
          <w:szCs w:val="22"/>
        </w:rPr>
        <w:t>Unitarios: su titular es un Magistrado.</w:t>
      </w:r>
    </w:p>
    <w:p w:rsidR="00D022C7" w:rsidRPr="00D022C7" w:rsidRDefault="00D022C7" w:rsidP="00D022C7">
      <w:pPr>
        <w:numPr>
          <w:ilvl w:val="0"/>
          <w:numId w:val="2"/>
        </w:numPr>
        <w:jc w:val="both"/>
        <w:rPr>
          <w:rFonts w:ascii="Verdana" w:hAnsi="Verdana"/>
          <w:sz w:val="22"/>
          <w:szCs w:val="22"/>
        </w:rPr>
      </w:pPr>
      <w:r w:rsidRPr="00D022C7">
        <w:rPr>
          <w:rFonts w:ascii="Verdana" w:hAnsi="Verdana"/>
          <w:sz w:val="22"/>
          <w:szCs w:val="22"/>
        </w:rPr>
        <w:t>Colegiados: la titularidad la tiene un cuerpo colegiado de Magistrados, 3 en total que deliberan acerca de los asuntos que deben resolver.</w:t>
      </w:r>
    </w:p>
    <w:p w:rsidR="00D022C7" w:rsidRPr="00D022C7" w:rsidRDefault="00D022C7" w:rsidP="00D022C7">
      <w:pPr>
        <w:ind w:firstLine="34"/>
        <w:jc w:val="both"/>
        <w:rPr>
          <w:rFonts w:ascii="Verdana" w:hAnsi="Verdana"/>
          <w:sz w:val="22"/>
          <w:szCs w:val="22"/>
        </w:rPr>
      </w:pPr>
      <w:r w:rsidRPr="00D022C7">
        <w:rPr>
          <w:rFonts w:ascii="Verdana" w:hAnsi="Verdana"/>
          <w:sz w:val="22"/>
          <w:szCs w:val="22"/>
        </w:rPr>
        <w:t xml:space="preserve">• </w:t>
      </w:r>
      <w:r w:rsidRPr="00D022C7">
        <w:rPr>
          <w:rFonts w:ascii="Verdana" w:hAnsi="Verdana"/>
          <w:b/>
          <w:sz w:val="22"/>
          <w:szCs w:val="22"/>
        </w:rPr>
        <w:t>Juzgados de distrito</w:t>
      </w:r>
      <w:r w:rsidRPr="00D022C7">
        <w:rPr>
          <w:rFonts w:ascii="Verdana" w:hAnsi="Verdana"/>
          <w:sz w:val="22"/>
          <w:szCs w:val="22"/>
        </w:rPr>
        <w:t>, tienen como titular a un Juez, los cuales se dividen por áreas especializadas y sus atribuciones se encuentran establecidas en la Ley Orgánica del Poder Judicial de la Federación.</w:t>
      </w:r>
    </w:p>
    <w:p w:rsidR="00D022C7" w:rsidRPr="00D022C7" w:rsidRDefault="00D022C7" w:rsidP="00D022C7">
      <w:pPr>
        <w:tabs>
          <w:tab w:val="left" w:pos="7836"/>
        </w:tabs>
        <w:jc w:val="both"/>
        <w:rPr>
          <w:rFonts w:ascii="Verdana" w:hAnsi="Verdana"/>
          <w:sz w:val="22"/>
          <w:szCs w:val="22"/>
          <w:lang w:val="es-ES"/>
        </w:rPr>
      </w:pPr>
      <w:r w:rsidRPr="00D022C7">
        <w:rPr>
          <w:rFonts w:ascii="Verdana" w:hAnsi="Verdana"/>
          <w:sz w:val="22"/>
          <w:szCs w:val="22"/>
          <w:lang w:val="es-ES"/>
        </w:rPr>
        <w:lastRenderedPageBreak/>
        <w:tab/>
      </w: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r>
        <w:rPr>
          <w:rFonts w:ascii="Verdana" w:hAnsi="Verdana"/>
          <w:noProof/>
          <w:sz w:val="16"/>
          <w:szCs w:val="16"/>
          <w:lang w:eastAsia="es-MX"/>
        </w:rPr>
        <w:drawing>
          <wp:anchor distT="0" distB="0" distL="114300" distR="114300" simplePos="0" relativeHeight="251664384" behindDoc="0" locked="0" layoutInCell="1" allowOverlap="1">
            <wp:simplePos x="0" y="0"/>
            <wp:positionH relativeFrom="margin">
              <wp:posOffset>1254760</wp:posOffset>
            </wp:positionH>
            <wp:positionV relativeFrom="margin">
              <wp:posOffset>60960</wp:posOffset>
            </wp:positionV>
            <wp:extent cx="5146040" cy="2691765"/>
            <wp:effectExtent l="0" t="0" r="0" b="0"/>
            <wp:wrapSquare wrapText="bothSides"/>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6040" cy="2691765"/>
                    </a:xfrm>
                    <a:prstGeom prst="rect">
                      <a:avLst/>
                    </a:prstGeom>
                    <a:noFill/>
                  </pic:spPr>
                </pic:pic>
              </a:graphicData>
            </a:graphic>
            <wp14:sizeRelH relativeFrom="page">
              <wp14:pctWidth>0</wp14:pctWidth>
            </wp14:sizeRelH>
            <wp14:sizeRelV relativeFrom="page">
              <wp14:pctHeight>0</wp14:pctHeight>
            </wp14:sizeRelV>
          </wp:anchor>
        </w:drawing>
      </w: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center"/>
        <w:rPr>
          <w:rFonts w:ascii="Verdana" w:hAnsi="Verdana"/>
          <w:b/>
          <w:sz w:val="22"/>
          <w:szCs w:val="22"/>
          <w:lang w:val="es-ES"/>
        </w:rPr>
      </w:pPr>
      <w:r>
        <w:rPr>
          <w:rFonts w:ascii="Verdana" w:hAnsi="Verdana"/>
          <w:noProof/>
          <w:sz w:val="22"/>
          <w:szCs w:val="22"/>
          <w:lang w:eastAsia="es-MX"/>
        </w:rPr>
        <w:drawing>
          <wp:inline distT="0" distB="0" distL="0" distR="0">
            <wp:extent cx="1628775" cy="2162175"/>
            <wp:effectExtent l="0" t="0" r="9525" b="9525"/>
            <wp:docPr id="26" name="Imagen 26" descr="Poder+Judicial+vs+corrupci%25C3%25B3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oder+Judicial+vs+corrupci%25C3%25B3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8775" cy="2162175"/>
                    </a:xfrm>
                    <a:prstGeom prst="rect">
                      <a:avLst/>
                    </a:prstGeom>
                    <a:noFill/>
                    <a:ln>
                      <a:noFill/>
                    </a:ln>
                  </pic:spPr>
                </pic:pic>
              </a:graphicData>
            </a:graphic>
          </wp:inline>
        </w:drawing>
      </w:r>
    </w:p>
    <w:p w:rsidR="00D022C7" w:rsidRPr="00D022C7" w:rsidRDefault="00D022C7" w:rsidP="00D022C7">
      <w:pPr>
        <w:tabs>
          <w:tab w:val="left" w:pos="7836"/>
        </w:tabs>
        <w:jc w:val="center"/>
        <w:rPr>
          <w:rFonts w:ascii="Verdana" w:hAnsi="Verdana"/>
          <w:sz w:val="16"/>
          <w:szCs w:val="16"/>
          <w:lang w:val="es-ES"/>
        </w:rPr>
      </w:pPr>
      <w:r w:rsidRPr="00D022C7">
        <w:rPr>
          <w:rFonts w:ascii="Verdana" w:hAnsi="Verdana"/>
          <w:sz w:val="16"/>
          <w:szCs w:val="16"/>
          <w:lang w:val="es-ES"/>
        </w:rPr>
        <w:t>Mechaín (2011) [caricatura].</w:t>
      </w:r>
    </w:p>
    <w:p w:rsidR="00D022C7" w:rsidRPr="00D022C7" w:rsidRDefault="00D022C7" w:rsidP="00D022C7">
      <w:pPr>
        <w:tabs>
          <w:tab w:val="left" w:pos="7836"/>
        </w:tabs>
        <w:jc w:val="center"/>
        <w:rPr>
          <w:rFonts w:ascii="Verdana" w:hAnsi="Verdana"/>
          <w:sz w:val="16"/>
          <w:szCs w:val="16"/>
          <w:lang w:val="es-ES"/>
        </w:rPr>
      </w:pPr>
      <w:r w:rsidRPr="00D022C7">
        <w:rPr>
          <w:rFonts w:ascii="Verdana" w:hAnsi="Verdana"/>
          <w:sz w:val="16"/>
          <w:szCs w:val="16"/>
          <w:lang w:val="es-ES"/>
        </w:rPr>
        <w:t>Tomada de: http://entrepenasygracias.blogspot.mx/2011/01/el-peru-y-la-lucha-contra-la-corrupcion.html</w:t>
      </w: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rPr>
      </w:pPr>
      <w:r w:rsidRPr="00D022C7">
        <w:rPr>
          <w:rFonts w:ascii="Verdana" w:hAnsi="Verdana"/>
          <w:sz w:val="22"/>
          <w:szCs w:val="22"/>
        </w:rPr>
        <w:t>En el Consejo de la Judicatura Federal es poco frecuente la suspensión definitiva de juzgadores; éste recurre más a las sanciones menores, que van desde apercibimientos por escrito, hasta destituciones temporales de entre tres meses y un año sin goce de sueldo.</w:t>
      </w:r>
    </w:p>
    <w:p w:rsidR="00D022C7" w:rsidRPr="00D022C7" w:rsidRDefault="00D022C7" w:rsidP="00D022C7">
      <w:pPr>
        <w:tabs>
          <w:tab w:val="left" w:pos="7836"/>
        </w:tabs>
        <w:jc w:val="both"/>
        <w:rPr>
          <w:rFonts w:ascii="Verdana" w:hAnsi="Verdana"/>
          <w:sz w:val="22"/>
          <w:szCs w:val="22"/>
        </w:rPr>
      </w:pPr>
    </w:p>
    <w:tbl>
      <w:tblPr>
        <w:tblW w:w="11688" w:type="dxa"/>
        <w:jc w:val="center"/>
        <w:tblBorders>
          <w:top w:val="single" w:sz="8" w:space="0" w:color="FFFFFF"/>
          <w:left w:val="single" w:sz="8" w:space="0" w:color="FFFFFF"/>
          <w:bottom w:val="single" w:sz="8" w:space="0" w:color="FFFFFF"/>
          <w:right w:val="single" w:sz="8" w:space="0" w:color="FFFFFF"/>
          <w:insideH w:val="single" w:sz="24" w:space="0" w:color="FFFFFF"/>
          <w:insideV w:val="single" w:sz="8" w:space="0" w:color="FFFFFF"/>
        </w:tblBorders>
        <w:shd w:val="clear" w:color="auto" w:fill="EAF1DD"/>
        <w:tblLayout w:type="fixed"/>
        <w:tblCellMar>
          <w:left w:w="0" w:type="dxa"/>
          <w:right w:w="0" w:type="dxa"/>
        </w:tblCellMar>
        <w:tblLook w:val="0420" w:firstRow="1" w:lastRow="0" w:firstColumn="0" w:lastColumn="0" w:noHBand="0" w:noVBand="1"/>
      </w:tblPr>
      <w:tblGrid>
        <w:gridCol w:w="1950"/>
        <w:gridCol w:w="1257"/>
        <w:gridCol w:w="3443"/>
        <w:gridCol w:w="1816"/>
        <w:gridCol w:w="1799"/>
        <w:gridCol w:w="1423"/>
      </w:tblGrid>
      <w:tr w:rsidR="00D022C7" w:rsidRPr="00D022C7" w:rsidTr="006B5D5C">
        <w:trPr>
          <w:trHeight w:val="807"/>
          <w:jc w:val="center"/>
        </w:trPr>
        <w:tc>
          <w:tcPr>
            <w:tcW w:w="1950" w:type="dxa"/>
            <w:tcBorders>
              <w:top w:val="single" w:sz="8" w:space="0" w:color="FFFFFF"/>
              <w:bottom w:val="single" w:sz="24" w:space="0" w:color="FFFFFF"/>
            </w:tcBorders>
            <w:shd w:val="clear" w:color="auto" w:fill="C2D69B"/>
            <w:tcMar>
              <w:top w:w="72" w:type="dxa"/>
              <w:left w:w="144" w:type="dxa"/>
              <w:bottom w:w="72" w:type="dxa"/>
              <w:right w:w="144" w:type="dxa"/>
            </w:tcMar>
            <w:hideMark/>
          </w:tcPr>
          <w:p w:rsidR="00D022C7" w:rsidRPr="00D022C7" w:rsidRDefault="00D022C7" w:rsidP="00D022C7">
            <w:pPr>
              <w:jc w:val="center"/>
              <w:rPr>
                <w:rFonts w:ascii="Verdana" w:hAnsi="Verdana"/>
                <w:bCs w:val="0"/>
                <w:sz w:val="20"/>
                <w:szCs w:val="22"/>
                <w:lang w:eastAsia="es-MX"/>
              </w:rPr>
            </w:pPr>
            <w:r w:rsidRPr="00D022C7">
              <w:rPr>
                <w:rFonts w:ascii="Verdana" w:hAnsi="Verdana"/>
                <w:b/>
                <w:kern w:val="24"/>
                <w:sz w:val="20"/>
                <w:szCs w:val="22"/>
                <w:lang w:eastAsia="es-MX"/>
              </w:rPr>
              <w:t>Expediente</w:t>
            </w:r>
          </w:p>
        </w:tc>
        <w:tc>
          <w:tcPr>
            <w:tcW w:w="1257" w:type="dxa"/>
            <w:tcBorders>
              <w:top w:val="single" w:sz="8" w:space="0" w:color="FFFFFF"/>
              <w:bottom w:val="single" w:sz="24" w:space="0" w:color="FFFFFF"/>
            </w:tcBorders>
            <w:shd w:val="clear" w:color="auto" w:fill="C2D69B"/>
            <w:tcMar>
              <w:top w:w="72" w:type="dxa"/>
              <w:left w:w="144" w:type="dxa"/>
              <w:bottom w:w="72" w:type="dxa"/>
              <w:right w:w="144" w:type="dxa"/>
            </w:tcMar>
            <w:hideMark/>
          </w:tcPr>
          <w:p w:rsidR="00D022C7" w:rsidRPr="00D022C7" w:rsidRDefault="00D022C7" w:rsidP="00D022C7">
            <w:pPr>
              <w:jc w:val="center"/>
              <w:rPr>
                <w:rFonts w:ascii="Verdana" w:hAnsi="Verdana"/>
                <w:bCs w:val="0"/>
                <w:sz w:val="20"/>
                <w:szCs w:val="22"/>
                <w:lang w:eastAsia="es-MX"/>
              </w:rPr>
            </w:pPr>
            <w:r w:rsidRPr="00D022C7">
              <w:rPr>
                <w:rFonts w:ascii="Verdana" w:hAnsi="Verdana"/>
                <w:b/>
                <w:kern w:val="24"/>
                <w:sz w:val="20"/>
                <w:szCs w:val="22"/>
                <w:lang w:eastAsia="es-MX"/>
              </w:rPr>
              <w:t>Puesto</w:t>
            </w:r>
          </w:p>
        </w:tc>
        <w:tc>
          <w:tcPr>
            <w:tcW w:w="3443" w:type="dxa"/>
            <w:tcBorders>
              <w:top w:val="single" w:sz="8" w:space="0" w:color="FFFFFF"/>
              <w:bottom w:val="single" w:sz="24" w:space="0" w:color="FFFFFF"/>
            </w:tcBorders>
            <w:shd w:val="clear" w:color="auto" w:fill="C2D69B"/>
            <w:tcMar>
              <w:top w:w="72" w:type="dxa"/>
              <w:left w:w="144" w:type="dxa"/>
              <w:bottom w:w="72" w:type="dxa"/>
              <w:right w:w="144" w:type="dxa"/>
            </w:tcMar>
            <w:hideMark/>
          </w:tcPr>
          <w:p w:rsidR="00D022C7" w:rsidRPr="00D022C7" w:rsidRDefault="00D022C7" w:rsidP="00D022C7">
            <w:pPr>
              <w:jc w:val="center"/>
              <w:rPr>
                <w:rFonts w:ascii="Verdana" w:hAnsi="Verdana"/>
                <w:bCs w:val="0"/>
                <w:sz w:val="20"/>
                <w:szCs w:val="22"/>
                <w:lang w:eastAsia="es-MX"/>
              </w:rPr>
            </w:pPr>
            <w:r w:rsidRPr="00D022C7">
              <w:rPr>
                <w:rFonts w:ascii="Verdana" w:hAnsi="Verdana"/>
                <w:b/>
                <w:kern w:val="24"/>
                <w:sz w:val="20"/>
                <w:szCs w:val="22"/>
                <w:lang w:eastAsia="es-MX"/>
              </w:rPr>
              <w:t>Conducta</w:t>
            </w:r>
          </w:p>
        </w:tc>
        <w:tc>
          <w:tcPr>
            <w:tcW w:w="1816" w:type="dxa"/>
            <w:tcBorders>
              <w:top w:val="single" w:sz="8" w:space="0" w:color="FFFFFF"/>
              <w:bottom w:val="single" w:sz="24" w:space="0" w:color="FFFFFF"/>
            </w:tcBorders>
            <w:shd w:val="clear" w:color="auto" w:fill="C2D69B"/>
            <w:tcMar>
              <w:top w:w="72" w:type="dxa"/>
              <w:left w:w="144" w:type="dxa"/>
              <w:bottom w:w="72" w:type="dxa"/>
              <w:right w:w="144" w:type="dxa"/>
            </w:tcMar>
            <w:hideMark/>
          </w:tcPr>
          <w:p w:rsidR="00D022C7" w:rsidRPr="00D022C7" w:rsidRDefault="00D022C7" w:rsidP="00D022C7">
            <w:pPr>
              <w:jc w:val="center"/>
              <w:rPr>
                <w:rFonts w:ascii="Verdana" w:hAnsi="Verdana"/>
                <w:bCs w:val="0"/>
                <w:sz w:val="20"/>
                <w:szCs w:val="22"/>
                <w:lang w:eastAsia="es-MX"/>
              </w:rPr>
            </w:pPr>
            <w:r w:rsidRPr="00D022C7">
              <w:rPr>
                <w:rFonts w:ascii="Verdana" w:hAnsi="Verdana"/>
                <w:b/>
                <w:kern w:val="24"/>
                <w:sz w:val="20"/>
                <w:szCs w:val="22"/>
                <w:lang w:eastAsia="es-MX"/>
              </w:rPr>
              <w:t>Fundamento legal</w:t>
            </w:r>
          </w:p>
        </w:tc>
        <w:tc>
          <w:tcPr>
            <w:tcW w:w="1799" w:type="dxa"/>
            <w:tcBorders>
              <w:top w:val="single" w:sz="8" w:space="0" w:color="FFFFFF"/>
              <w:bottom w:val="single" w:sz="24" w:space="0" w:color="FFFFFF"/>
            </w:tcBorders>
            <w:shd w:val="clear" w:color="auto" w:fill="C2D69B"/>
            <w:tcMar>
              <w:top w:w="72" w:type="dxa"/>
              <w:left w:w="144" w:type="dxa"/>
              <w:bottom w:w="72" w:type="dxa"/>
              <w:right w:w="144" w:type="dxa"/>
            </w:tcMar>
            <w:hideMark/>
          </w:tcPr>
          <w:p w:rsidR="00D022C7" w:rsidRPr="00D022C7" w:rsidRDefault="00D022C7" w:rsidP="00D022C7">
            <w:pPr>
              <w:jc w:val="center"/>
              <w:rPr>
                <w:rFonts w:ascii="Verdana" w:hAnsi="Verdana"/>
                <w:bCs w:val="0"/>
                <w:sz w:val="20"/>
                <w:szCs w:val="22"/>
                <w:lang w:eastAsia="es-MX"/>
              </w:rPr>
            </w:pPr>
            <w:r w:rsidRPr="00D022C7">
              <w:rPr>
                <w:rFonts w:ascii="Verdana" w:hAnsi="Verdana"/>
                <w:b/>
                <w:kern w:val="24"/>
                <w:sz w:val="20"/>
                <w:szCs w:val="22"/>
                <w:lang w:eastAsia="es-MX"/>
              </w:rPr>
              <w:t>Sanción</w:t>
            </w:r>
          </w:p>
        </w:tc>
        <w:tc>
          <w:tcPr>
            <w:tcW w:w="1423" w:type="dxa"/>
            <w:tcBorders>
              <w:top w:val="single" w:sz="8" w:space="0" w:color="FFFFFF"/>
              <w:bottom w:val="single" w:sz="24" w:space="0" w:color="FFFFFF"/>
            </w:tcBorders>
            <w:shd w:val="clear" w:color="auto" w:fill="C2D69B"/>
            <w:tcMar>
              <w:top w:w="72" w:type="dxa"/>
              <w:left w:w="144" w:type="dxa"/>
              <w:bottom w:w="72" w:type="dxa"/>
              <w:right w:w="144" w:type="dxa"/>
            </w:tcMar>
            <w:hideMark/>
          </w:tcPr>
          <w:p w:rsidR="00D022C7" w:rsidRPr="00D022C7" w:rsidRDefault="00D022C7" w:rsidP="00D022C7">
            <w:pPr>
              <w:jc w:val="center"/>
              <w:rPr>
                <w:rFonts w:ascii="Verdana" w:hAnsi="Verdana"/>
                <w:bCs w:val="0"/>
                <w:sz w:val="20"/>
                <w:szCs w:val="22"/>
                <w:lang w:eastAsia="es-MX"/>
              </w:rPr>
            </w:pPr>
            <w:r w:rsidRPr="00D022C7">
              <w:rPr>
                <w:rFonts w:ascii="Verdana" w:hAnsi="Verdana"/>
                <w:b/>
                <w:kern w:val="24"/>
                <w:sz w:val="20"/>
                <w:szCs w:val="22"/>
                <w:lang w:eastAsia="es-MX"/>
              </w:rPr>
              <w:t>Nivel de la falta</w:t>
            </w:r>
          </w:p>
        </w:tc>
      </w:tr>
      <w:tr w:rsidR="00D022C7" w:rsidRPr="00D022C7" w:rsidTr="006B5D5C">
        <w:trPr>
          <w:trHeight w:val="2056"/>
          <w:jc w:val="center"/>
        </w:trPr>
        <w:tc>
          <w:tcPr>
            <w:tcW w:w="1950" w:type="dxa"/>
            <w:tcBorders>
              <w:top w:val="single" w:sz="24" w:space="0" w:color="FFFFFF"/>
            </w:tcBorders>
            <w:shd w:val="clear" w:color="auto" w:fill="EAF1DD"/>
            <w:tcMar>
              <w:top w:w="72" w:type="dxa"/>
              <w:left w:w="144" w:type="dxa"/>
              <w:bottom w:w="72" w:type="dxa"/>
              <w:right w:w="144" w:type="dxa"/>
            </w:tcMar>
            <w:hideMark/>
          </w:tcPr>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lastRenderedPageBreak/>
              <w:t>Denuncia</w:t>
            </w:r>
          </w:p>
        </w:tc>
        <w:tc>
          <w:tcPr>
            <w:tcW w:w="1257" w:type="dxa"/>
            <w:tcBorders>
              <w:top w:val="single" w:sz="24" w:space="0" w:color="FFFFFF"/>
            </w:tcBorders>
            <w:shd w:val="clear" w:color="auto" w:fill="EAF1DD"/>
            <w:tcMar>
              <w:top w:w="72" w:type="dxa"/>
              <w:left w:w="144" w:type="dxa"/>
              <w:bottom w:w="72" w:type="dxa"/>
              <w:right w:w="144" w:type="dxa"/>
            </w:tcMar>
            <w:hideMark/>
          </w:tcPr>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Juez de distrito</w:t>
            </w:r>
          </w:p>
        </w:tc>
        <w:tc>
          <w:tcPr>
            <w:tcW w:w="3443" w:type="dxa"/>
            <w:tcBorders>
              <w:top w:val="single" w:sz="24" w:space="0" w:color="FFFFFF"/>
            </w:tcBorders>
            <w:shd w:val="clear" w:color="auto" w:fill="EAF1DD"/>
            <w:tcMar>
              <w:top w:w="72" w:type="dxa"/>
              <w:left w:w="144" w:type="dxa"/>
              <w:bottom w:w="72" w:type="dxa"/>
              <w:right w:w="144" w:type="dxa"/>
            </w:tcMar>
            <w:hideMark/>
          </w:tcPr>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Falta de profesionalismo (incurrió en múltiples</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 xml:space="preserve">Irregularidades y demostró notoria falta de interés y </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 xml:space="preserve">profesionalismo, al retirarse </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 xml:space="preserve">temprano del juzgado, no </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 xml:space="preserve">regresar a laborar y delegar </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 xml:space="preserve">sus funciones a los secretarios y actuarios. </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 xml:space="preserve">Profirió malos tratos a </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 xml:space="preserve">sus subordinados, </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 xml:space="preserve">provocando además una </w:t>
            </w:r>
          </w:p>
          <w:p w:rsidR="00D022C7" w:rsidRPr="00D022C7" w:rsidRDefault="00D022C7" w:rsidP="00D022C7">
            <w:pPr>
              <w:rPr>
                <w:rFonts w:ascii="Verdana" w:hAnsi="Verdana"/>
                <w:bCs w:val="0"/>
                <w:sz w:val="20"/>
                <w:szCs w:val="36"/>
                <w:lang w:eastAsia="es-MX"/>
              </w:rPr>
            </w:pPr>
            <w:r w:rsidRPr="00D022C7">
              <w:rPr>
                <w:rFonts w:ascii="Verdana" w:hAnsi="Verdana"/>
                <w:bCs w:val="0"/>
                <w:color w:val="000000"/>
                <w:kern w:val="24"/>
                <w:sz w:val="20"/>
                <w:szCs w:val="36"/>
                <w:lang w:eastAsia="es-MX"/>
              </w:rPr>
              <w:t>carga inequitativa de trabajo,</w:t>
            </w:r>
          </w:p>
        </w:tc>
        <w:tc>
          <w:tcPr>
            <w:tcW w:w="1816" w:type="dxa"/>
            <w:tcBorders>
              <w:top w:val="single" w:sz="24" w:space="0" w:color="FFFFFF"/>
            </w:tcBorders>
            <w:shd w:val="clear" w:color="auto" w:fill="EAF1DD"/>
            <w:tcMar>
              <w:top w:w="72" w:type="dxa"/>
              <w:left w:w="144" w:type="dxa"/>
              <w:bottom w:w="72" w:type="dxa"/>
              <w:right w:w="144" w:type="dxa"/>
            </w:tcMar>
            <w:hideMark/>
          </w:tcPr>
          <w:p w:rsidR="00D022C7" w:rsidRPr="00D022C7" w:rsidRDefault="00D022C7" w:rsidP="00D022C7">
            <w:pPr>
              <w:rPr>
                <w:rFonts w:ascii="Verdana" w:hAnsi="Verdana"/>
                <w:bCs w:val="0"/>
                <w:sz w:val="20"/>
                <w:szCs w:val="36"/>
                <w:lang w:val="en-US" w:eastAsia="es-MX"/>
              </w:rPr>
            </w:pPr>
            <w:r w:rsidRPr="00D022C7">
              <w:rPr>
                <w:rFonts w:ascii="Verdana" w:hAnsi="Verdana"/>
                <w:bCs w:val="0"/>
                <w:sz w:val="20"/>
                <w:szCs w:val="36"/>
                <w:lang w:val="en-US" w:eastAsia="es-MX"/>
              </w:rPr>
              <w:t>Art. 131,</w:t>
            </w:r>
          </w:p>
          <w:p w:rsidR="00D022C7" w:rsidRPr="00D022C7" w:rsidRDefault="00D022C7" w:rsidP="00D022C7">
            <w:pPr>
              <w:rPr>
                <w:rFonts w:ascii="Verdana" w:hAnsi="Verdana"/>
                <w:bCs w:val="0"/>
                <w:sz w:val="20"/>
                <w:szCs w:val="36"/>
                <w:lang w:val="en-US" w:eastAsia="es-MX"/>
              </w:rPr>
            </w:pPr>
            <w:r w:rsidRPr="00D022C7">
              <w:rPr>
                <w:rFonts w:ascii="Verdana" w:hAnsi="Verdana"/>
                <w:bCs w:val="0"/>
                <w:sz w:val="20"/>
                <w:szCs w:val="36"/>
                <w:lang w:val="en-US" w:eastAsia="es-MX"/>
              </w:rPr>
              <w:t>fr. X y XI,</w:t>
            </w:r>
          </w:p>
          <w:p w:rsidR="00D022C7" w:rsidRPr="00D022C7" w:rsidRDefault="00D022C7" w:rsidP="00D022C7">
            <w:pPr>
              <w:rPr>
                <w:rFonts w:ascii="Verdana" w:hAnsi="Verdana"/>
                <w:bCs w:val="0"/>
                <w:sz w:val="20"/>
                <w:szCs w:val="36"/>
                <w:lang w:val="en-US" w:eastAsia="es-MX"/>
              </w:rPr>
            </w:pPr>
            <w:r w:rsidRPr="00D022C7">
              <w:rPr>
                <w:rFonts w:ascii="Verdana" w:hAnsi="Verdana"/>
                <w:bCs w:val="0"/>
                <w:sz w:val="20"/>
                <w:szCs w:val="36"/>
                <w:lang w:val="en-US" w:eastAsia="es-MX"/>
              </w:rPr>
              <w:t>LOPJF, y</w:t>
            </w:r>
          </w:p>
          <w:p w:rsidR="00D022C7" w:rsidRPr="00D022C7" w:rsidRDefault="00D022C7" w:rsidP="00D022C7">
            <w:pPr>
              <w:rPr>
                <w:rFonts w:ascii="Verdana" w:hAnsi="Verdana"/>
                <w:bCs w:val="0"/>
                <w:sz w:val="20"/>
                <w:szCs w:val="36"/>
                <w:lang w:val="en-US" w:eastAsia="es-MX"/>
              </w:rPr>
            </w:pPr>
            <w:r w:rsidRPr="00D022C7">
              <w:rPr>
                <w:rFonts w:ascii="Verdana" w:hAnsi="Verdana"/>
                <w:bCs w:val="0"/>
                <w:sz w:val="20"/>
                <w:szCs w:val="36"/>
                <w:lang w:val="en-US" w:eastAsia="es-MX"/>
              </w:rPr>
              <w:t>art, 8, fr.I,III, IX y XXIV</w:t>
            </w:r>
          </w:p>
          <w:p w:rsidR="00D022C7" w:rsidRPr="00D022C7" w:rsidRDefault="00D022C7" w:rsidP="00D022C7">
            <w:pPr>
              <w:rPr>
                <w:bCs w:val="0"/>
                <w:sz w:val="20"/>
                <w:szCs w:val="36"/>
                <w:lang w:val="en-US" w:eastAsia="es-MX"/>
              </w:rPr>
            </w:pPr>
            <w:r w:rsidRPr="00D022C7">
              <w:rPr>
                <w:rFonts w:ascii="Verdana" w:hAnsi="Verdana"/>
                <w:bCs w:val="0"/>
                <w:sz w:val="20"/>
                <w:szCs w:val="36"/>
                <w:lang w:val="en-US" w:eastAsia="es-MX"/>
              </w:rPr>
              <w:t>LFRASP</w:t>
            </w:r>
          </w:p>
        </w:tc>
        <w:tc>
          <w:tcPr>
            <w:tcW w:w="1799" w:type="dxa"/>
            <w:tcBorders>
              <w:top w:val="single" w:sz="24" w:space="0" w:color="FFFFFF"/>
            </w:tcBorders>
            <w:shd w:val="clear" w:color="auto" w:fill="EAF1DD"/>
            <w:tcMar>
              <w:top w:w="72" w:type="dxa"/>
              <w:left w:w="144" w:type="dxa"/>
              <w:bottom w:w="72" w:type="dxa"/>
              <w:right w:w="144" w:type="dxa"/>
            </w:tcMar>
            <w:hideMark/>
          </w:tcPr>
          <w:p w:rsidR="00D022C7" w:rsidRPr="00D022C7" w:rsidRDefault="00D022C7" w:rsidP="00D022C7">
            <w:pPr>
              <w:rPr>
                <w:rFonts w:ascii="Verdana" w:hAnsi="Verdana"/>
                <w:bCs w:val="0"/>
                <w:sz w:val="20"/>
                <w:szCs w:val="36"/>
                <w:lang w:eastAsia="es-MX"/>
              </w:rPr>
            </w:pPr>
            <w:r w:rsidRPr="00D022C7">
              <w:rPr>
                <w:rFonts w:ascii="Verdana" w:hAnsi="Verdana"/>
                <w:bCs w:val="0"/>
                <w:sz w:val="20"/>
                <w:szCs w:val="36"/>
                <w:lang w:eastAsia="es-MX"/>
              </w:rPr>
              <w:t>Destitución</w:t>
            </w:r>
          </w:p>
        </w:tc>
        <w:tc>
          <w:tcPr>
            <w:tcW w:w="1423" w:type="dxa"/>
            <w:tcBorders>
              <w:top w:val="single" w:sz="24" w:space="0" w:color="FFFFFF"/>
            </w:tcBorders>
            <w:shd w:val="clear" w:color="auto" w:fill="EAF1DD"/>
            <w:tcMar>
              <w:top w:w="72" w:type="dxa"/>
              <w:left w:w="144" w:type="dxa"/>
              <w:bottom w:w="72" w:type="dxa"/>
              <w:right w:w="144" w:type="dxa"/>
            </w:tcMar>
            <w:hideMark/>
          </w:tcPr>
          <w:p w:rsidR="00D022C7" w:rsidRPr="00D022C7" w:rsidRDefault="00D022C7" w:rsidP="00D022C7">
            <w:pPr>
              <w:rPr>
                <w:rFonts w:ascii="Verdana" w:hAnsi="Verdana"/>
                <w:bCs w:val="0"/>
                <w:sz w:val="20"/>
                <w:szCs w:val="36"/>
                <w:lang w:eastAsia="es-MX"/>
              </w:rPr>
            </w:pPr>
            <w:r w:rsidRPr="00D022C7">
              <w:rPr>
                <w:rFonts w:ascii="Verdana" w:hAnsi="Verdana"/>
                <w:bCs w:val="0"/>
                <w:sz w:val="20"/>
                <w:szCs w:val="36"/>
                <w:lang w:eastAsia="es-MX"/>
              </w:rPr>
              <w:t>Grave</w:t>
            </w:r>
          </w:p>
        </w:tc>
      </w:tr>
    </w:tbl>
    <w:p w:rsidR="00D022C7" w:rsidRPr="00D022C7" w:rsidRDefault="00D022C7" w:rsidP="00D022C7">
      <w:pPr>
        <w:tabs>
          <w:tab w:val="left" w:pos="7836"/>
        </w:tabs>
        <w:jc w:val="center"/>
        <w:rPr>
          <w:rFonts w:ascii="Verdana" w:hAnsi="Verdana"/>
          <w:sz w:val="16"/>
          <w:szCs w:val="16"/>
        </w:rPr>
      </w:pPr>
    </w:p>
    <w:p w:rsidR="00D022C7" w:rsidRPr="00D022C7" w:rsidRDefault="00D022C7" w:rsidP="00D022C7">
      <w:pPr>
        <w:tabs>
          <w:tab w:val="left" w:pos="7836"/>
        </w:tabs>
        <w:jc w:val="center"/>
        <w:rPr>
          <w:rFonts w:ascii="Verdana" w:hAnsi="Verdana"/>
          <w:sz w:val="16"/>
          <w:szCs w:val="16"/>
        </w:rPr>
      </w:pPr>
      <w:r w:rsidRPr="00D022C7">
        <w:rPr>
          <w:rFonts w:ascii="Verdana" w:hAnsi="Verdana"/>
          <w:sz w:val="16"/>
          <w:szCs w:val="16"/>
        </w:rPr>
        <w:t xml:space="preserve">Fuente: Bustillos, J. </w:t>
      </w:r>
      <w:r w:rsidRPr="00D022C7">
        <w:rPr>
          <w:rFonts w:ascii="Verdana" w:hAnsi="Verdana"/>
          <w:sz w:val="16"/>
          <w:szCs w:val="16"/>
          <w:lang w:val="es-ES"/>
        </w:rPr>
        <w:t xml:space="preserve">La corrupción de los jueces federales mexicanos y su depuración. Revista del Instituto de la Judicatura Federal. N°32, 2011 pp 41-58. Tomada de: </w:t>
      </w:r>
      <w:r w:rsidRPr="00D022C7">
        <w:rPr>
          <w:rFonts w:ascii="Verdana" w:hAnsi="Verdana"/>
          <w:sz w:val="16"/>
          <w:szCs w:val="16"/>
        </w:rPr>
        <w:t>www.cjf.gob.mx (página electrónica del Consejo de la Judicatura Federal).</w:t>
      </w:r>
    </w:p>
    <w:p w:rsidR="00D022C7" w:rsidRPr="00D022C7" w:rsidRDefault="00D022C7" w:rsidP="00D022C7">
      <w:pPr>
        <w:tabs>
          <w:tab w:val="left" w:pos="7836"/>
        </w:tabs>
        <w:jc w:val="both"/>
        <w:rPr>
          <w:rFonts w:ascii="Verdana" w:hAnsi="Verdana"/>
          <w:sz w:val="22"/>
          <w:szCs w:val="22"/>
        </w:rPr>
      </w:pPr>
    </w:p>
    <w:p w:rsidR="00D022C7" w:rsidRPr="00D022C7" w:rsidRDefault="00D022C7" w:rsidP="00D022C7">
      <w:pPr>
        <w:tabs>
          <w:tab w:val="left" w:pos="7836"/>
        </w:tabs>
        <w:jc w:val="both"/>
        <w:rPr>
          <w:rFonts w:ascii="Verdana" w:hAnsi="Verdana"/>
          <w:sz w:val="22"/>
          <w:szCs w:val="22"/>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tabs>
          <w:tab w:val="left" w:pos="7836"/>
        </w:tabs>
        <w:jc w:val="both"/>
        <w:rPr>
          <w:rFonts w:ascii="Verdana" w:hAnsi="Verdana"/>
          <w:sz w:val="22"/>
          <w:szCs w:val="22"/>
        </w:rPr>
      </w:pPr>
    </w:p>
    <w:p w:rsidR="00D022C7" w:rsidRPr="00D022C7" w:rsidRDefault="00D022C7" w:rsidP="00D022C7">
      <w:pPr>
        <w:tabs>
          <w:tab w:val="left" w:pos="7836"/>
        </w:tabs>
        <w:jc w:val="center"/>
        <w:rPr>
          <w:rFonts w:ascii="Verdana" w:hAnsi="Verdana"/>
          <w:sz w:val="22"/>
          <w:szCs w:val="22"/>
        </w:rPr>
      </w:pPr>
      <w:r>
        <w:rPr>
          <w:rFonts w:ascii="Verdana" w:hAnsi="Verdana"/>
          <w:noProof/>
          <w:sz w:val="22"/>
          <w:szCs w:val="22"/>
          <w:lang w:eastAsia="es-MX"/>
        </w:rPr>
        <w:drawing>
          <wp:inline distT="0" distB="0" distL="0" distR="0">
            <wp:extent cx="7048500" cy="4152900"/>
            <wp:effectExtent l="0" t="0" r="0" b="0"/>
            <wp:docPr id="25" name="Imagen 25"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n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48500" cy="4152900"/>
                    </a:xfrm>
                    <a:prstGeom prst="rect">
                      <a:avLst/>
                    </a:prstGeom>
                    <a:noFill/>
                    <a:ln>
                      <a:noFill/>
                    </a:ln>
                  </pic:spPr>
                </pic:pic>
              </a:graphicData>
            </a:graphic>
          </wp:inline>
        </w:drawing>
      </w:r>
    </w:p>
    <w:p w:rsidR="00D022C7" w:rsidRPr="00D022C7" w:rsidRDefault="00D022C7" w:rsidP="00D022C7">
      <w:pPr>
        <w:tabs>
          <w:tab w:val="left" w:pos="7836"/>
        </w:tabs>
        <w:jc w:val="center"/>
        <w:rPr>
          <w:rFonts w:ascii="Verdana" w:hAnsi="Verdana"/>
          <w:sz w:val="16"/>
          <w:szCs w:val="16"/>
        </w:rPr>
      </w:pPr>
      <w:r w:rsidRPr="00D022C7">
        <w:rPr>
          <w:rFonts w:ascii="Verdana" w:hAnsi="Verdana"/>
          <w:sz w:val="16"/>
          <w:szCs w:val="16"/>
          <w:lang w:val="es-ES"/>
        </w:rPr>
        <w:t xml:space="preserve">Fuente: Bustillos, J. La corrupción de los jueces federales mexicanos y su depuración. Revista del Instituto de la Judicatura Federal. N°32, 2011 pp 41-58. Tomada de: </w:t>
      </w:r>
      <w:r w:rsidRPr="00D022C7">
        <w:rPr>
          <w:rFonts w:ascii="Verdana" w:hAnsi="Verdana"/>
          <w:sz w:val="16"/>
          <w:szCs w:val="16"/>
        </w:rPr>
        <w:t>www.cjf.gob.mx (página electrónica del Consejo de la Judicatura Federal).</w:t>
      </w:r>
    </w:p>
    <w:p w:rsidR="00D022C7" w:rsidRPr="00D022C7" w:rsidRDefault="00D022C7" w:rsidP="00D022C7">
      <w:pPr>
        <w:tabs>
          <w:tab w:val="left" w:pos="7836"/>
        </w:tabs>
        <w:jc w:val="center"/>
        <w:rPr>
          <w:rFonts w:ascii="Verdana" w:hAnsi="Verdana"/>
          <w:sz w:val="16"/>
          <w:szCs w:val="16"/>
        </w:rPr>
      </w:pPr>
    </w:p>
    <w:p w:rsidR="00D022C7" w:rsidRPr="00D022C7" w:rsidRDefault="00D022C7" w:rsidP="00D022C7">
      <w:pPr>
        <w:tabs>
          <w:tab w:val="left" w:pos="7836"/>
        </w:tabs>
        <w:jc w:val="center"/>
        <w:rPr>
          <w:rFonts w:ascii="Verdana" w:hAnsi="Verdana"/>
          <w:sz w:val="16"/>
          <w:szCs w:val="16"/>
          <w:lang w:val="es-ES"/>
        </w:rPr>
      </w:pPr>
    </w:p>
    <w:p w:rsidR="00D022C7" w:rsidRPr="00D022C7" w:rsidRDefault="00D022C7" w:rsidP="00D022C7">
      <w:pPr>
        <w:tabs>
          <w:tab w:val="left" w:pos="7836"/>
        </w:tabs>
        <w:jc w:val="both"/>
        <w:rPr>
          <w:rFonts w:ascii="Verdana" w:hAnsi="Verdana"/>
          <w:sz w:val="22"/>
          <w:szCs w:val="22"/>
          <w:lang w:val="es-ES"/>
        </w:rPr>
      </w:pPr>
    </w:p>
    <w:p w:rsidR="00D022C7" w:rsidRPr="00D022C7" w:rsidRDefault="00D022C7" w:rsidP="00D022C7">
      <w:pPr>
        <w:ind w:firstLine="34"/>
        <w:jc w:val="both"/>
        <w:rPr>
          <w:rFonts w:ascii="Verdana" w:hAnsi="Verdana"/>
          <w:b/>
          <w:sz w:val="22"/>
          <w:szCs w:val="22"/>
          <w:lang w:val="es-ES"/>
        </w:rPr>
      </w:pPr>
    </w:p>
    <w:p w:rsidR="00D022C7" w:rsidRPr="00D022C7" w:rsidRDefault="00D022C7" w:rsidP="00D022C7">
      <w:pPr>
        <w:ind w:firstLine="34"/>
        <w:jc w:val="both"/>
        <w:rPr>
          <w:rFonts w:ascii="Verdana" w:hAnsi="Verdana"/>
          <w:b/>
          <w:sz w:val="22"/>
          <w:szCs w:val="22"/>
          <w:lang w:val="es-ES"/>
        </w:rPr>
      </w:pPr>
    </w:p>
    <w:p w:rsidR="00D022C7" w:rsidRPr="00D022C7" w:rsidRDefault="00D022C7" w:rsidP="00D022C7">
      <w:pPr>
        <w:ind w:firstLine="34"/>
        <w:jc w:val="center"/>
        <w:rPr>
          <w:rFonts w:ascii="Verdana" w:hAnsi="Verdana"/>
          <w:b/>
          <w:sz w:val="22"/>
          <w:szCs w:val="22"/>
        </w:rPr>
      </w:pPr>
      <w:r>
        <w:rPr>
          <w:rFonts w:ascii="Verdana" w:hAnsi="Verdana"/>
          <w:b/>
          <w:noProof/>
          <w:sz w:val="22"/>
          <w:szCs w:val="22"/>
          <w:lang w:eastAsia="es-MX"/>
        </w:rPr>
        <w:drawing>
          <wp:inline distT="0" distB="0" distL="0" distR="0">
            <wp:extent cx="2114550" cy="1743075"/>
            <wp:effectExtent l="0" t="0" r="0" b="9525"/>
            <wp:docPr id="24" name="Imagen 24" descr="b-251010%2Bdia1corrup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633695008949701842" descr="b-251010%2Bdia1corrupc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14550" cy="1743075"/>
                    </a:xfrm>
                    <a:prstGeom prst="rect">
                      <a:avLst/>
                    </a:prstGeom>
                    <a:noFill/>
                    <a:ln>
                      <a:noFill/>
                    </a:ln>
                  </pic:spPr>
                </pic:pic>
              </a:graphicData>
            </a:graphic>
          </wp:inline>
        </w:drawing>
      </w:r>
    </w:p>
    <w:p w:rsidR="00D022C7" w:rsidRPr="00D022C7" w:rsidRDefault="00D022C7" w:rsidP="00D022C7">
      <w:pPr>
        <w:ind w:firstLine="34"/>
        <w:jc w:val="center"/>
        <w:rPr>
          <w:rFonts w:ascii="Verdana" w:hAnsi="Verdana"/>
          <w:sz w:val="16"/>
          <w:szCs w:val="16"/>
        </w:rPr>
      </w:pPr>
      <w:r w:rsidRPr="00D022C7">
        <w:rPr>
          <w:rFonts w:ascii="Verdana" w:hAnsi="Verdana"/>
          <w:sz w:val="16"/>
          <w:szCs w:val="16"/>
        </w:rPr>
        <w:t xml:space="preserve">(2011) [caricatura]. </w:t>
      </w:r>
    </w:p>
    <w:p w:rsidR="00D022C7" w:rsidRPr="00D022C7" w:rsidRDefault="00D022C7" w:rsidP="00D022C7">
      <w:pPr>
        <w:ind w:firstLine="34"/>
        <w:jc w:val="center"/>
        <w:rPr>
          <w:rFonts w:ascii="Verdana" w:hAnsi="Verdana"/>
          <w:sz w:val="16"/>
          <w:szCs w:val="16"/>
        </w:rPr>
      </w:pPr>
      <w:r w:rsidRPr="00D022C7">
        <w:rPr>
          <w:rFonts w:ascii="Verdana" w:hAnsi="Verdana"/>
          <w:sz w:val="16"/>
          <w:szCs w:val="16"/>
        </w:rPr>
        <w:t>Tomado de: http://lfuego.blogspot.mx/2011/07/tenemos-jueces-sujetos-la-ley.html</w:t>
      </w:r>
    </w:p>
    <w:p w:rsidR="00D022C7" w:rsidRPr="00D022C7" w:rsidRDefault="00D022C7" w:rsidP="00D022C7">
      <w:pPr>
        <w:ind w:firstLine="34"/>
        <w:jc w:val="center"/>
        <w:rPr>
          <w:rFonts w:ascii="Verdana" w:hAnsi="Verdana"/>
          <w:sz w:val="16"/>
          <w:szCs w:val="16"/>
        </w:rPr>
      </w:pPr>
    </w:p>
    <w:p w:rsidR="00D022C7" w:rsidRPr="00D022C7" w:rsidRDefault="00D022C7" w:rsidP="00D022C7">
      <w:pPr>
        <w:ind w:firstLine="34"/>
        <w:jc w:val="both"/>
        <w:rPr>
          <w:rFonts w:ascii="Verdana" w:hAnsi="Verdana"/>
          <w:b/>
          <w:sz w:val="22"/>
          <w:szCs w:val="22"/>
        </w:rPr>
      </w:pPr>
    </w:p>
    <w:p w:rsidR="00D022C7" w:rsidRPr="00D022C7" w:rsidRDefault="00D022C7" w:rsidP="00D022C7">
      <w:pPr>
        <w:ind w:firstLine="34"/>
        <w:jc w:val="both"/>
        <w:rPr>
          <w:rFonts w:ascii="Verdana" w:hAnsi="Verdana"/>
          <w:b/>
          <w:sz w:val="22"/>
          <w:szCs w:val="22"/>
        </w:rPr>
      </w:pPr>
    </w:p>
    <w:p w:rsidR="00D022C7" w:rsidRPr="00D022C7" w:rsidRDefault="00D022C7" w:rsidP="00D022C7">
      <w:pPr>
        <w:ind w:firstLine="34"/>
        <w:jc w:val="both"/>
        <w:rPr>
          <w:rFonts w:ascii="Verdana" w:hAnsi="Verdana"/>
          <w:b/>
          <w:sz w:val="22"/>
          <w:szCs w:val="22"/>
        </w:rPr>
      </w:pPr>
    </w:p>
    <w:p w:rsidR="00D022C7" w:rsidRPr="00D022C7" w:rsidRDefault="00D022C7" w:rsidP="00D022C7">
      <w:pPr>
        <w:ind w:firstLine="34"/>
        <w:jc w:val="both"/>
        <w:rPr>
          <w:rFonts w:ascii="Verdana" w:hAnsi="Verdana"/>
          <w:b/>
          <w:sz w:val="22"/>
          <w:szCs w:val="22"/>
        </w:rPr>
      </w:pPr>
    </w:p>
    <w:p w:rsidR="00D022C7" w:rsidRPr="00D022C7" w:rsidRDefault="00D022C7" w:rsidP="00D022C7">
      <w:pPr>
        <w:ind w:firstLine="34"/>
        <w:jc w:val="both"/>
        <w:rPr>
          <w:rFonts w:ascii="Verdana" w:hAnsi="Verdana"/>
          <w:b/>
          <w:sz w:val="22"/>
          <w:szCs w:val="22"/>
        </w:rPr>
      </w:pPr>
      <w:r w:rsidRPr="00D022C7">
        <w:rPr>
          <w:rFonts w:ascii="Verdana" w:hAnsi="Verdana"/>
          <w:b/>
          <w:sz w:val="22"/>
          <w:szCs w:val="22"/>
        </w:rPr>
        <w:t>Resumen</w:t>
      </w:r>
    </w:p>
    <w:p w:rsidR="00D022C7" w:rsidRPr="00D022C7" w:rsidRDefault="00D022C7" w:rsidP="00D022C7">
      <w:pPr>
        <w:ind w:firstLine="34"/>
        <w:jc w:val="both"/>
        <w:rPr>
          <w:rFonts w:ascii="Verdana" w:hAnsi="Verdana"/>
          <w:sz w:val="22"/>
          <w:szCs w:val="22"/>
        </w:rPr>
      </w:pPr>
    </w:p>
    <w:p w:rsidR="00197717" w:rsidRPr="00D022C7" w:rsidRDefault="00D022C7" w:rsidP="00D022C7">
      <w:r w:rsidRPr="00D022C7">
        <w:rPr>
          <w:rFonts w:ascii="Verdana" w:hAnsi="Verdana"/>
          <w:sz w:val="22"/>
          <w:szCs w:val="22"/>
        </w:rPr>
        <w:t>En este apartado se han revisado los retos que enfrenta el Poder Judicial para combatir la corrupción, uno de ellos es el cambio de percepción que la ciudadanía tiene acerca de los agentes del ministerio público, jueces y magistrados y su capacidad para impartir justicia de manera expedita. La revisión del tipo de delitos cometidos contra la administración de la justicia y los esfuerzos del Consejo de la Judicatura Federal por disciplinar y sancionar a los jueces que hayan incurrido en responsabilidades administrativas como servidores públicos, o hayan incurrido en delitos cometidos contra la administración de la justicia.</w:t>
      </w:r>
      <w:bookmarkStart w:id="0" w:name="_GoBack"/>
      <w:bookmarkEnd w:id="0"/>
    </w:p>
    <w:sectPr w:rsidR="00197717" w:rsidRPr="00D022C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717" w:rsidRDefault="00197717" w:rsidP="00197717">
      <w:r>
        <w:separator/>
      </w:r>
    </w:p>
  </w:endnote>
  <w:endnote w:type="continuationSeparator" w:id="0">
    <w:p w:rsidR="00197717" w:rsidRDefault="00197717" w:rsidP="0019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717" w:rsidRDefault="00197717" w:rsidP="00197717">
      <w:r>
        <w:separator/>
      </w:r>
    </w:p>
  </w:footnote>
  <w:footnote w:type="continuationSeparator" w:id="0">
    <w:p w:rsidR="00197717" w:rsidRDefault="00197717" w:rsidP="00197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03914"/>
    <w:multiLevelType w:val="hybridMultilevel"/>
    <w:tmpl w:val="C532B60A"/>
    <w:lvl w:ilvl="0" w:tplc="0C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192080F"/>
    <w:multiLevelType w:val="hybridMultilevel"/>
    <w:tmpl w:val="C69624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F67"/>
    <w:rsid w:val="00197717"/>
    <w:rsid w:val="003E4F67"/>
    <w:rsid w:val="0095439C"/>
    <w:rsid w:val="009F289F"/>
    <w:rsid w:val="00D022C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67"/>
    <w:pPr>
      <w:spacing w:after="0" w:line="240" w:lineRule="auto"/>
    </w:pPr>
    <w:rPr>
      <w:rFonts w:ascii="Arial" w:eastAsia="Times New Roman" w:hAnsi="Arial" w:cs="Arial"/>
      <w:bCs/>
      <w:sz w:val="24"/>
      <w:szCs w:val="24"/>
      <w:lang w:eastAsia="es-ES"/>
    </w:rPr>
  </w:style>
  <w:style w:type="paragraph" w:styleId="Ttulo1">
    <w:name w:val="heading 1"/>
    <w:basedOn w:val="Normal"/>
    <w:link w:val="Ttulo1Car"/>
    <w:uiPriority w:val="9"/>
    <w:qFormat/>
    <w:rsid w:val="003E4F67"/>
    <w:pPr>
      <w:spacing w:before="100" w:beforeAutospacing="1" w:after="100" w:afterAutospacing="1"/>
      <w:outlineLvl w:val="0"/>
    </w:pPr>
    <w:rPr>
      <w:rFonts w:ascii="Times New Roman" w:hAnsi="Times New Roman" w:cs="Times New Roman"/>
      <w:b/>
      <w:kern w:val="36"/>
      <w:sz w:val="48"/>
      <w:szCs w:val="4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F67"/>
    <w:rPr>
      <w:rFonts w:ascii="Times New Roman" w:eastAsia="Times New Roman" w:hAnsi="Times New Roman" w:cs="Times New Roman"/>
      <w:b/>
      <w:bCs/>
      <w:kern w:val="36"/>
      <w:sz w:val="48"/>
      <w:szCs w:val="48"/>
      <w:lang w:val="es-ES" w:eastAsia="es-ES"/>
    </w:rPr>
  </w:style>
  <w:style w:type="character" w:styleId="Refdecomentario">
    <w:name w:val="annotation reference"/>
    <w:uiPriority w:val="99"/>
    <w:unhideWhenUsed/>
    <w:rsid w:val="003E4F67"/>
    <w:rPr>
      <w:sz w:val="16"/>
      <w:szCs w:val="16"/>
    </w:rPr>
  </w:style>
  <w:style w:type="paragraph" w:styleId="Textocomentario">
    <w:name w:val="annotation text"/>
    <w:basedOn w:val="Normal"/>
    <w:link w:val="TextocomentarioCar"/>
    <w:uiPriority w:val="99"/>
    <w:unhideWhenUsed/>
    <w:rsid w:val="003E4F67"/>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3E4F67"/>
    <w:rPr>
      <w:rFonts w:ascii="Times New Roman" w:eastAsia="Times New Roman" w:hAnsi="Times New Roman" w:cs="Times New Roman"/>
      <w:sz w:val="20"/>
      <w:szCs w:val="20"/>
      <w:lang w:val="es-ES" w:eastAsia="es-ES"/>
    </w:rPr>
  </w:style>
  <w:style w:type="character" w:styleId="Hipervnculo">
    <w:name w:val="Hyperlink"/>
    <w:rsid w:val="003E4F67"/>
    <w:rPr>
      <w:color w:val="0000FF"/>
      <w:u w:val="single"/>
    </w:rPr>
  </w:style>
  <w:style w:type="character" w:customStyle="1" w:styleId="watch-title">
    <w:name w:val="watch-title"/>
    <w:rsid w:val="003E4F67"/>
  </w:style>
  <w:style w:type="paragraph" w:styleId="Textodeglobo">
    <w:name w:val="Balloon Text"/>
    <w:basedOn w:val="Normal"/>
    <w:link w:val="TextodegloboCar"/>
    <w:uiPriority w:val="99"/>
    <w:semiHidden/>
    <w:unhideWhenUsed/>
    <w:rsid w:val="003E4F67"/>
    <w:rPr>
      <w:rFonts w:ascii="Tahoma" w:hAnsi="Tahoma" w:cs="Tahoma"/>
      <w:sz w:val="16"/>
      <w:szCs w:val="16"/>
    </w:rPr>
  </w:style>
  <w:style w:type="character" w:customStyle="1" w:styleId="TextodegloboCar">
    <w:name w:val="Texto de globo Car"/>
    <w:basedOn w:val="Fuentedeprrafopredeter"/>
    <w:link w:val="Textodeglobo"/>
    <w:uiPriority w:val="99"/>
    <w:semiHidden/>
    <w:rsid w:val="003E4F67"/>
    <w:rPr>
      <w:rFonts w:ascii="Tahoma" w:eastAsia="Times New Roman" w:hAnsi="Tahoma" w:cs="Tahoma"/>
      <w:bCs/>
      <w:sz w:val="16"/>
      <w:szCs w:val="16"/>
      <w:lang w:eastAsia="es-ES"/>
    </w:rPr>
  </w:style>
  <w:style w:type="paragraph" w:styleId="NormalWeb">
    <w:name w:val="Normal (Web)"/>
    <w:basedOn w:val="Normal"/>
    <w:uiPriority w:val="99"/>
    <w:semiHidden/>
    <w:unhideWhenUsed/>
    <w:rsid w:val="00197717"/>
    <w:rPr>
      <w:rFonts w:ascii="Times New Roman" w:hAnsi="Times New Roman" w:cs="Times New Roman"/>
    </w:rPr>
  </w:style>
  <w:style w:type="paragraph" w:styleId="Textonotapie">
    <w:name w:val="footnote text"/>
    <w:basedOn w:val="Normal"/>
    <w:link w:val="TextonotapieCar"/>
    <w:rsid w:val="00197717"/>
    <w:rPr>
      <w:sz w:val="20"/>
      <w:szCs w:val="20"/>
    </w:rPr>
  </w:style>
  <w:style w:type="character" w:customStyle="1" w:styleId="TextonotapieCar">
    <w:name w:val="Texto nota pie Car"/>
    <w:basedOn w:val="Fuentedeprrafopredeter"/>
    <w:link w:val="Textonotapie"/>
    <w:rsid w:val="00197717"/>
    <w:rPr>
      <w:rFonts w:ascii="Arial" w:eastAsia="Times New Roman" w:hAnsi="Arial" w:cs="Arial"/>
      <w:bCs/>
      <w:sz w:val="20"/>
      <w:szCs w:val="20"/>
      <w:lang w:eastAsia="es-ES"/>
    </w:rPr>
  </w:style>
  <w:style w:type="character" w:styleId="Refdenotaalpie">
    <w:name w:val="footnote reference"/>
    <w:rsid w:val="0019771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67"/>
    <w:pPr>
      <w:spacing w:after="0" w:line="240" w:lineRule="auto"/>
    </w:pPr>
    <w:rPr>
      <w:rFonts w:ascii="Arial" w:eastAsia="Times New Roman" w:hAnsi="Arial" w:cs="Arial"/>
      <w:bCs/>
      <w:sz w:val="24"/>
      <w:szCs w:val="24"/>
      <w:lang w:eastAsia="es-ES"/>
    </w:rPr>
  </w:style>
  <w:style w:type="paragraph" w:styleId="Ttulo1">
    <w:name w:val="heading 1"/>
    <w:basedOn w:val="Normal"/>
    <w:link w:val="Ttulo1Car"/>
    <w:uiPriority w:val="9"/>
    <w:qFormat/>
    <w:rsid w:val="003E4F67"/>
    <w:pPr>
      <w:spacing w:before="100" w:beforeAutospacing="1" w:after="100" w:afterAutospacing="1"/>
      <w:outlineLvl w:val="0"/>
    </w:pPr>
    <w:rPr>
      <w:rFonts w:ascii="Times New Roman" w:hAnsi="Times New Roman" w:cs="Times New Roman"/>
      <w:b/>
      <w:kern w:val="36"/>
      <w:sz w:val="48"/>
      <w:szCs w:val="4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F67"/>
    <w:rPr>
      <w:rFonts w:ascii="Times New Roman" w:eastAsia="Times New Roman" w:hAnsi="Times New Roman" w:cs="Times New Roman"/>
      <w:b/>
      <w:bCs/>
      <w:kern w:val="36"/>
      <w:sz w:val="48"/>
      <w:szCs w:val="48"/>
      <w:lang w:val="es-ES" w:eastAsia="es-ES"/>
    </w:rPr>
  </w:style>
  <w:style w:type="character" w:styleId="Refdecomentario">
    <w:name w:val="annotation reference"/>
    <w:uiPriority w:val="99"/>
    <w:unhideWhenUsed/>
    <w:rsid w:val="003E4F67"/>
    <w:rPr>
      <w:sz w:val="16"/>
      <w:szCs w:val="16"/>
    </w:rPr>
  </w:style>
  <w:style w:type="paragraph" w:styleId="Textocomentario">
    <w:name w:val="annotation text"/>
    <w:basedOn w:val="Normal"/>
    <w:link w:val="TextocomentarioCar"/>
    <w:uiPriority w:val="99"/>
    <w:unhideWhenUsed/>
    <w:rsid w:val="003E4F67"/>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3E4F67"/>
    <w:rPr>
      <w:rFonts w:ascii="Times New Roman" w:eastAsia="Times New Roman" w:hAnsi="Times New Roman" w:cs="Times New Roman"/>
      <w:sz w:val="20"/>
      <w:szCs w:val="20"/>
      <w:lang w:val="es-ES" w:eastAsia="es-ES"/>
    </w:rPr>
  </w:style>
  <w:style w:type="character" w:styleId="Hipervnculo">
    <w:name w:val="Hyperlink"/>
    <w:rsid w:val="003E4F67"/>
    <w:rPr>
      <w:color w:val="0000FF"/>
      <w:u w:val="single"/>
    </w:rPr>
  </w:style>
  <w:style w:type="character" w:customStyle="1" w:styleId="watch-title">
    <w:name w:val="watch-title"/>
    <w:rsid w:val="003E4F67"/>
  </w:style>
  <w:style w:type="paragraph" w:styleId="Textodeglobo">
    <w:name w:val="Balloon Text"/>
    <w:basedOn w:val="Normal"/>
    <w:link w:val="TextodegloboCar"/>
    <w:uiPriority w:val="99"/>
    <w:semiHidden/>
    <w:unhideWhenUsed/>
    <w:rsid w:val="003E4F67"/>
    <w:rPr>
      <w:rFonts w:ascii="Tahoma" w:hAnsi="Tahoma" w:cs="Tahoma"/>
      <w:sz w:val="16"/>
      <w:szCs w:val="16"/>
    </w:rPr>
  </w:style>
  <w:style w:type="character" w:customStyle="1" w:styleId="TextodegloboCar">
    <w:name w:val="Texto de globo Car"/>
    <w:basedOn w:val="Fuentedeprrafopredeter"/>
    <w:link w:val="Textodeglobo"/>
    <w:uiPriority w:val="99"/>
    <w:semiHidden/>
    <w:rsid w:val="003E4F67"/>
    <w:rPr>
      <w:rFonts w:ascii="Tahoma" w:eastAsia="Times New Roman" w:hAnsi="Tahoma" w:cs="Tahoma"/>
      <w:bCs/>
      <w:sz w:val="16"/>
      <w:szCs w:val="16"/>
      <w:lang w:eastAsia="es-ES"/>
    </w:rPr>
  </w:style>
  <w:style w:type="paragraph" w:styleId="NormalWeb">
    <w:name w:val="Normal (Web)"/>
    <w:basedOn w:val="Normal"/>
    <w:uiPriority w:val="99"/>
    <w:semiHidden/>
    <w:unhideWhenUsed/>
    <w:rsid w:val="00197717"/>
    <w:rPr>
      <w:rFonts w:ascii="Times New Roman" w:hAnsi="Times New Roman" w:cs="Times New Roman"/>
    </w:rPr>
  </w:style>
  <w:style w:type="paragraph" w:styleId="Textonotapie">
    <w:name w:val="footnote text"/>
    <w:basedOn w:val="Normal"/>
    <w:link w:val="TextonotapieCar"/>
    <w:rsid w:val="00197717"/>
    <w:rPr>
      <w:sz w:val="20"/>
      <w:szCs w:val="20"/>
    </w:rPr>
  </w:style>
  <w:style w:type="character" w:customStyle="1" w:styleId="TextonotapieCar">
    <w:name w:val="Texto nota pie Car"/>
    <w:basedOn w:val="Fuentedeprrafopredeter"/>
    <w:link w:val="Textonotapie"/>
    <w:rsid w:val="00197717"/>
    <w:rPr>
      <w:rFonts w:ascii="Arial" w:eastAsia="Times New Roman" w:hAnsi="Arial" w:cs="Arial"/>
      <w:bCs/>
      <w:sz w:val="20"/>
      <w:szCs w:val="20"/>
      <w:lang w:eastAsia="es-ES"/>
    </w:rPr>
  </w:style>
  <w:style w:type="character" w:styleId="Refdenotaalpie">
    <w:name w:val="footnote reference"/>
    <w:rsid w:val="001977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http://justiciasincorrupcion1.files.wordpress.com/2008/01/7bdfc-justiciacorrupta.jpg" TargetMode="External"/><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1197</Words>
  <Characters>6585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2</cp:revision>
  <dcterms:created xsi:type="dcterms:W3CDTF">2014-10-08T17:53:00Z</dcterms:created>
  <dcterms:modified xsi:type="dcterms:W3CDTF">2014-10-08T17:53:00Z</dcterms:modified>
</cp:coreProperties>
</file>